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B5" w:rsidRPr="000F3D84" w:rsidRDefault="00055AB5" w:rsidP="00055AB5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5AB5" w:rsidRDefault="00055AB5" w:rsidP="00055AB5">
      <w:pPr>
        <w:bidi w:val="0"/>
        <w:spacing w:after="0" w:line="240" w:lineRule="auto"/>
        <w:rPr>
          <w:rFonts w:asciiTheme="majorHAnsi" w:hAnsiTheme="majorHAnsi" w:cs="Bold Italic Art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619750" cy="3124200"/>
            <wp:effectExtent l="0" t="0" r="1905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55AB5" w:rsidRDefault="00055AB5" w:rsidP="00055AB5">
      <w:pPr>
        <w:bidi w:val="0"/>
        <w:spacing w:after="0" w:line="240" w:lineRule="auto"/>
        <w:rPr>
          <w:rFonts w:asciiTheme="majorHAnsi" w:hAnsiTheme="majorHAnsi" w:cs="Bold Italic Art"/>
          <w:b/>
          <w:bCs/>
          <w:sz w:val="32"/>
          <w:szCs w:val="32"/>
        </w:rPr>
      </w:pPr>
    </w:p>
    <w:p w:rsidR="007E1EC4" w:rsidRPr="00DC6C41" w:rsidRDefault="00055AB5" w:rsidP="00055AB5">
      <w:pPr>
        <w:bidi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1.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Level of BMI in Unexplained infertility (UI) Patients and Healthy Control</w:t>
      </w:r>
    </w:p>
    <w:p w:rsidR="00055AB5" w:rsidRDefault="00055AB5" w:rsidP="00055AB5">
      <w:pPr>
        <w:bidi w:val="0"/>
        <w:rPr>
          <w:rFonts w:asciiTheme="minorBidi" w:hAnsiTheme="minorBidi"/>
          <w:b/>
          <w:bCs/>
          <w:sz w:val="20"/>
          <w:szCs w:val="20"/>
        </w:rPr>
      </w:pPr>
    </w:p>
    <w:p w:rsidR="00055AB5" w:rsidRPr="007D7027" w:rsidRDefault="00055AB5" w:rsidP="00055AB5">
      <w:pPr>
        <w:tabs>
          <w:tab w:val="left" w:pos="1580"/>
        </w:tabs>
        <w:bidi w:val="0"/>
        <w:rPr>
          <w:rFonts w:asciiTheme="majorBidi" w:hAnsiTheme="majorBidi" w:cstheme="majorBidi"/>
          <w:sz w:val="24"/>
          <w:szCs w:val="24"/>
        </w:rPr>
      </w:pP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55AB5" w:rsidRDefault="00055AB5" w:rsidP="00055AB5">
      <w:pPr>
        <w:bidi w:val="0"/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</w:p>
    <w:p w:rsidR="00055AB5" w:rsidRPr="00DC6C41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2.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FSH levels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055AB5" w:rsidRDefault="00055AB5" w:rsidP="00055AB5">
      <w:pPr>
        <w:bidi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055AB5" w:rsidRDefault="00055AB5" w:rsidP="00055AB5">
      <w:pPr>
        <w:bidi w:val="0"/>
        <w:rPr>
          <w:rFonts w:asciiTheme="majorBidi" w:hAnsiTheme="majorBidi" w:cstheme="majorBidi"/>
          <w:sz w:val="28"/>
          <w:szCs w:val="28"/>
        </w:rPr>
      </w:pPr>
    </w:p>
    <w:p w:rsidR="00055AB5" w:rsidRDefault="00055AB5" w:rsidP="00055AB5">
      <w:pPr>
        <w:bidi w:val="0"/>
        <w:spacing w:after="0" w:line="240" w:lineRule="auto"/>
        <w:rPr>
          <w:rFonts w:asciiTheme="majorHAnsi" w:hAnsiTheme="majorHAnsi" w:cs="Cambria,Bold"/>
          <w:b/>
          <w:bCs/>
          <w:sz w:val="36"/>
          <w:szCs w:val="34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Default="00055AB5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3.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LH levels in control and unexplained infertility women groups</w:t>
      </w:r>
    </w:p>
    <w:p w:rsidR="00DC6C41" w:rsidRDefault="00DC6C41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C6C41" w:rsidRDefault="00DC6C41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C6C41" w:rsidRPr="00DC6C41" w:rsidRDefault="00DC6C41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55AB5" w:rsidRPr="00055AB5" w:rsidRDefault="00055AB5" w:rsidP="00055AB5">
      <w:pPr>
        <w:bidi w:val="0"/>
        <w:spacing w:after="0" w:line="240" w:lineRule="auto"/>
        <w:rPr>
          <w:rFonts w:asciiTheme="minorBidi" w:hAnsiTheme="minorBidi"/>
          <w:b/>
          <w:bCs/>
          <w:sz w:val="20"/>
          <w:szCs w:val="20"/>
        </w:rPr>
      </w:pPr>
    </w:p>
    <w:p w:rsidR="00055AB5" w:rsidRPr="002368B9" w:rsidRDefault="00055AB5" w:rsidP="00055AB5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DC6C41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4.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PRL levels in control and unexplained infertility women groups</w:t>
      </w:r>
    </w:p>
    <w:p w:rsidR="00055AB5" w:rsidRPr="0066088A" w:rsidRDefault="00055AB5" w:rsidP="00055AB5">
      <w:pPr>
        <w:bidi w:val="0"/>
        <w:spacing w:after="0" w:line="240" w:lineRule="auto"/>
        <w:rPr>
          <w:rFonts w:asciiTheme="majorHAnsi" w:hAnsiTheme="majorHAnsi" w:cs="Times New Roman"/>
          <w:b/>
          <w:bCs/>
          <w:sz w:val="32"/>
          <w:szCs w:val="32"/>
        </w:rPr>
      </w:pP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3600" cy="3199765"/>
            <wp:effectExtent l="0" t="0" r="19050" b="1968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DC6C41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5.</w:t>
      </w:r>
      <w:proofErr w:type="gramEnd"/>
      <w:r w:rsidRPr="00DC6C41">
        <w:rPr>
          <w:rFonts w:ascii="Times New Roman" w:hAnsi="Times New Roman" w:cs="Times New Roman"/>
          <w:sz w:val="20"/>
          <w:szCs w:val="20"/>
        </w:rPr>
        <w:t xml:space="preserve"> Serum TSH levels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055AB5" w:rsidRPr="007D7027" w:rsidRDefault="00055AB5" w:rsidP="00055AB5">
      <w:pPr>
        <w:tabs>
          <w:tab w:val="left" w:pos="3138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055AB5" w:rsidRDefault="00055AB5" w:rsidP="00055AB5">
      <w:pPr>
        <w:bidi w:val="0"/>
        <w:spacing w:after="0" w:line="240" w:lineRule="auto"/>
        <w:rPr>
          <w:rFonts w:asciiTheme="majorHAnsi" w:hAnsiTheme="majorHAnsi" w:cstheme="majorBid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5AB5" w:rsidRDefault="00055AB5" w:rsidP="00055AB5">
      <w:pPr>
        <w:bidi w:val="0"/>
        <w:spacing w:after="0" w:line="240" w:lineRule="auto"/>
        <w:rPr>
          <w:rFonts w:asciiTheme="majorHAnsi" w:hAnsiTheme="majorHAnsi" w:cstheme="majorBidi"/>
          <w:b/>
          <w:bCs/>
          <w:sz w:val="32"/>
          <w:szCs w:val="32"/>
        </w:rPr>
      </w:pPr>
    </w:p>
    <w:p w:rsidR="00055AB5" w:rsidRPr="00DC6C41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6.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 xml:space="preserve">Serum </w:t>
      </w:r>
      <w:proofErr w:type="spellStart"/>
      <w:r w:rsidRPr="00DC6C41">
        <w:rPr>
          <w:rFonts w:ascii="Times New Roman" w:hAnsi="Times New Roman" w:cs="Times New Roman"/>
          <w:sz w:val="20"/>
          <w:szCs w:val="20"/>
        </w:rPr>
        <w:t>Leptin</w:t>
      </w:r>
      <w:proofErr w:type="spellEnd"/>
      <w:r w:rsidRPr="00DC6C41">
        <w:rPr>
          <w:rFonts w:ascii="Times New Roman" w:hAnsi="Times New Roman" w:cs="Times New Roman"/>
          <w:sz w:val="20"/>
          <w:szCs w:val="20"/>
        </w:rPr>
        <w:t xml:space="preserve"> level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055AB5" w:rsidRPr="000F3D84" w:rsidRDefault="00055AB5" w:rsidP="00055AB5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055AB5" w:rsidRPr="000F3D84" w:rsidRDefault="00055AB5" w:rsidP="00055AB5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055AB5" w:rsidRDefault="00055AB5" w:rsidP="00055AB5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3600" cy="3199765"/>
            <wp:effectExtent l="0" t="0" r="19050" b="1968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5AB5" w:rsidRDefault="00055AB5" w:rsidP="00055AB5">
      <w:pPr>
        <w:bidi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055AB5" w:rsidRPr="00DC6C41" w:rsidRDefault="00055AB5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7.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LOOH levels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7D7027" w:rsidRDefault="00055AB5" w:rsidP="00055AB5">
      <w:pPr>
        <w:tabs>
          <w:tab w:val="left" w:pos="3761"/>
        </w:tabs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:rsidR="00055AB5" w:rsidRPr="000F3D84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55AB5" w:rsidRPr="000F3D84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DC6C41" w:rsidRDefault="00055AB5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8.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4-HNE levels in control and unexplained infertility women groups</w:t>
      </w:r>
    </w:p>
    <w:p w:rsidR="00055AB5" w:rsidRPr="007D7027" w:rsidRDefault="00055AB5" w:rsidP="00055AB5">
      <w:pPr>
        <w:tabs>
          <w:tab w:val="left" w:pos="3858"/>
        </w:tabs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:rsidR="00055AB5" w:rsidRPr="007464B8" w:rsidRDefault="00055AB5" w:rsidP="00055AB5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3199765"/>
            <wp:effectExtent l="0" t="0" r="19050" b="1968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55AB5" w:rsidRPr="007464B8" w:rsidRDefault="00055AB5" w:rsidP="00055AB5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055AB5" w:rsidRPr="00DC6C41" w:rsidRDefault="00055AB5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9.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SOD levels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7464B8" w:rsidRDefault="00055AB5" w:rsidP="00055AB5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055AB5" w:rsidRDefault="00055AB5" w:rsidP="00055AB5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055AB5" w:rsidRPr="007464B8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55AB5" w:rsidRPr="007464B8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DC6C41" w:rsidRDefault="00055AB5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10.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CAT levels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7464B8" w:rsidRDefault="00055AB5" w:rsidP="00055AB5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:rsidR="00055AB5" w:rsidRPr="007464B8" w:rsidRDefault="00055AB5" w:rsidP="00055AB5">
      <w:pPr>
        <w:bidi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3600" cy="3199765"/>
            <wp:effectExtent l="0" t="0" r="19050" b="1968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55AB5" w:rsidRPr="00DC6C41" w:rsidRDefault="00055AB5" w:rsidP="00055AB5">
      <w:pPr>
        <w:bidi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11.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TAC levels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7464B8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5AB5" w:rsidRPr="007464B8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5AB5" w:rsidRPr="007464B8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5AB5" w:rsidRPr="007464B8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DC6C41" w:rsidRDefault="00055AB5" w:rsidP="00DC6C41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12.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Serum GSH levels in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7464B8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5AB5" w:rsidRPr="007464B8" w:rsidRDefault="00055AB5" w:rsidP="00055AB5">
      <w:pPr>
        <w:bidi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943600" cy="3199765"/>
            <wp:effectExtent l="0" t="0" r="19050" b="1968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55AB5" w:rsidRPr="00055AB5" w:rsidRDefault="00055AB5" w:rsidP="00055AB5">
      <w:pPr>
        <w:bidi w:val="0"/>
        <w:rPr>
          <w:rFonts w:asciiTheme="minorBidi" w:hAnsiTheme="minorBidi"/>
          <w:sz w:val="20"/>
          <w:szCs w:val="20"/>
        </w:rPr>
      </w:pPr>
      <w:proofErr w:type="gramStart"/>
      <w:r w:rsidRPr="00055AB5">
        <w:rPr>
          <w:rFonts w:asciiTheme="minorBidi" w:hAnsiTheme="minorBidi"/>
          <w:b/>
          <w:bCs/>
          <w:sz w:val="20"/>
          <w:szCs w:val="20"/>
        </w:rPr>
        <w:t>Figure 13</w:t>
      </w:r>
      <w:r>
        <w:rPr>
          <w:rFonts w:asciiTheme="minorBidi" w:hAnsiTheme="minorBidi"/>
          <w:sz w:val="20"/>
          <w:szCs w:val="20"/>
        </w:rPr>
        <w:t>.</w:t>
      </w:r>
      <w:proofErr w:type="gramEnd"/>
      <w:r w:rsidRPr="00055AB5">
        <w:rPr>
          <w:rFonts w:asciiTheme="minorBidi" w:hAnsiTheme="minorBidi"/>
          <w:sz w:val="20"/>
          <w:szCs w:val="20"/>
        </w:rPr>
        <w:t xml:space="preserve"> Level of Se in Whole Blood of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Default="00055AB5" w:rsidP="00055AB5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55AB5" w:rsidRPr="007464B8" w:rsidRDefault="00055AB5" w:rsidP="00055AB5">
      <w:pPr>
        <w:bidi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55AB5" w:rsidRPr="00DC6C41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14.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Level of Cu in Serum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55AB5" w:rsidRPr="00D8343B" w:rsidRDefault="00055AB5" w:rsidP="00055AB5">
      <w:pPr>
        <w:tabs>
          <w:tab w:val="left" w:pos="2590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055AB5" w:rsidRPr="007464B8" w:rsidRDefault="00055AB5" w:rsidP="00055AB5">
      <w:pPr>
        <w:bidi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3199765"/>
            <wp:effectExtent l="0" t="0" r="19050" b="1968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55AB5" w:rsidRPr="00DC6C41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15.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Level of Zn in Serum of control and unexplained infertility women groups</w:t>
      </w:r>
    </w:p>
    <w:p w:rsidR="00055AB5" w:rsidRPr="00D8343B" w:rsidRDefault="00055AB5" w:rsidP="00055AB5">
      <w:pPr>
        <w:tabs>
          <w:tab w:val="left" w:pos="3740"/>
        </w:tabs>
        <w:bidi w:val="0"/>
        <w:rPr>
          <w:rFonts w:ascii="Times New Roman" w:hAnsi="Times New Roman" w:cs="Times New Roman"/>
          <w:sz w:val="24"/>
          <w:szCs w:val="24"/>
        </w:rPr>
      </w:pPr>
    </w:p>
    <w:p w:rsidR="00055AB5" w:rsidRPr="007464B8" w:rsidRDefault="00055AB5" w:rsidP="00055AB5">
      <w:pPr>
        <w:bidi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199765"/>
            <wp:effectExtent l="0" t="0" r="19050" b="1968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55AB5" w:rsidRPr="00DC6C41" w:rsidRDefault="00055AB5" w:rsidP="00055A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C6C41">
        <w:rPr>
          <w:rFonts w:ascii="Times New Roman" w:hAnsi="Times New Roman" w:cs="Times New Roman"/>
          <w:b/>
          <w:bCs/>
          <w:sz w:val="20"/>
          <w:szCs w:val="20"/>
        </w:rPr>
        <w:t>Figure 16.</w:t>
      </w:r>
      <w:proofErr w:type="gramEnd"/>
      <w:r w:rsidRPr="00DC6C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C6C41">
        <w:rPr>
          <w:rFonts w:ascii="Times New Roman" w:hAnsi="Times New Roman" w:cs="Times New Roman"/>
          <w:sz w:val="20"/>
          <w:szCs w:val="20"/>
        </w:rPr>
        <w:t>Level of Mg in Serum of control and unexplained infertility women groups</w:t>
      </w:r>
    </w:p>
    <w:p w:rsidR="00055AB5" w:rsidRDefault="00055AB5" w:rsidP="00055AB5">
      <w:pPr>
        <w:bidi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055AB5" w:rsidRPr="00055AB5" w:rsidRDefault="00055AB5" w:rsidP="00055AB5">
      <w:pPr>
        <w:bidi w:val="0"/>
        <w:spacing w:after="0" w:line="240" w:lineRule="auto"/>
        <w:rPr>
          <w:rFonts w:asciiTheme="minorBidi" w:hAnsiTheme="minorBidi"/>
          <w:sz w:val="20"/>
          <w:szCs w:val="20"/>
        </w:rPr>
      </w:pPr>
    </w:p>
    <w:p w:rsidR="00055AB5" w:rsidRDefault="00055AB5" w:rsidP="00055AB5">
      <w:pPr>
        <w:bidi w:val="0"/>
        <w:rPr>
          <w:rFonts w:asciiTheme="minorBidi" w:hAnsiTheme="minorBidi"/>
          <w:b/>
          <w:bCs/>
          <w:sz w:val="20"/>
          <w:szCs w:val="20"/>
        </w:rPr>
      </w:pPr>
    </w:p>
    <w:p w:rsidR="00055AB5" w:rsidRDefault="00055AB5" w:rsidP="00055AB5">
      <w:pPr>
        <w:bidi w:val="0"/>
        <w:rPr>
          <w:rFonts w:asciiTheme="minorBidi" w:hAnsiTheme="minorBidi"/>
          <w:b/>
          <w:bCs/>
          <w:sz w:val="20"/>
          <w:szCs w:val="20"/>
        </w:rPr>
      </w:pPr>
    </w:p>
    <w:p w:rsidR="00055AB5" w:rsidRPr="00055AB5" w:rsidRDefault="00055AB5" w:rsidP="00055AB5">
      <w:pPr>
        <w:bidi w:val="0"/>
        <w:rPr>
          <w:rFonts w:asciiTheme="minorBidi" w:hAnsiTheme="minorBidi"/>
          <w:sz w:val="20"/>
          <w:szCs w:val="20"/>
          <w:lang w:bidi="ar-IQ"/>
        </w:rPr>
      </w:pPr>
    </w:p>
    <w:sectPr w:rsidR="00055AB5" w:rsidRPr="00055AB5" w:rsidSect="00DB0DCC">
      <w:pgSz w:w="12240" w:h="15840"/>
      <w:pgMar w:top="113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AE" w:rsidRDefault="005557AE" w:rsidP="00ED631E">
      <w:pPr>
        <w:spacing w:after="0" w:line="240" w:lineRule="auto"/>
      </w:pPr>
      <w:r>
        <w:separator/>
      </w:r>
    </w:p>
  </w:endnote>
  <w:endnote w:type="continuationSeparator" w:id="0">
    <w:p w:rsidR="005557AE" w:rsidRDefault="005557AE" w:rsidP="00E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ld Italic Art">
    <w:charset w:val="B2"/>
    <w:family w:val="auto"/>
    <w:pitch w:val="variable"/>
    <w:sig w:usb0="00002001" w:usb1="80000000" w:usb2="00000008" w:usb3="00000000" w:csb0="00000040" w:csb1="00000000"/>
  </w:font>
  <w:font w:name="Cambri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AE" w:rsidRDefault="005557AE" w:rsidP="00ED631E">
      <w:pPr>
        <w:spacing w:after="0" w:line="240" w:lineRule="auto"/>
      </w:pPr>
      <w:r>
        <w:separator/>
      </w:r>
    </w:p>
  </w:footnote>
  <w:footnote w:type="continuationSeparator" w:id="0">
    <w:p w:rsidR="005557AE" w:rsidRDefault="005557AE" w:rsidP="00ED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910"/>
    <w:multiLevelType w:val="hybridMultilevel"/>
    <w:tmpl w:val="8910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10697"/>
    <w:multiLevelType w:val="hybridMultilevel"/>
    <w:tmpl w:val="293A2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6FB0"/>
    <w:multiLevelType w:val="hybridMultilevel"/>
    <w:tmpl w:val="19845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E3303"/>
    <w:multiLevelType w:val="hybridMultilevel"/>
    <w:tmpl w:val="57CCC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03"/>
    <w:rsid w:val="00003543"/>
    <w:rsid w:val="00003D7C"/>
    <w:rsid w:val="000054CB"/>
    <w:rsid w:val="00010F08"/>
    <w:rsid w:val="00014E9B"/>
    <w:rsid w:val="000171DA"/>
    <w:rsid w:val="000172BB"/>
    <w:rsid w:val="00020524"/>
    <w:rsid w:val="00021D81"/>
    <w:rsid w:val="000230A7"/>
    <w:rsid w:val="0002569D"/>
    <w:rsid w:val="00025B8C"/>
    <w:rsid w:val="00030177"/>
    <w:rsid w:val="00030DD3"/>
    <w:rsid w:val="00031405"/>
    <w:rsid w:val="00031B54"/>
    <w:rsid w:val="00033854"/>
    <w:rsid w:val="000356F4"/>
    <w:rsid w:val="00035FDE"/>
    <w:rsid w:val="000370A9"/>
    <w:rsid w:val="00037584"/>
    <w:rsid w:val="0004158B"/>
    <w:rsid w:val="00047008"/>
    <w:rsid w:val="0005074E"/>
    <w:rsid w:val="00052686"/>
    <w:rsid w:val="00054B06"/>
    <w:rsid w:val="00055AB5"/>
    <w:rsid w:val="00055DD7"/>
    <w:rsid w:val="00056BC9"/>
    <w:rsid w:val="00057528"/>
    <w:rsid w:val="00060AF3"/>
    <w:rsid w:val="00065602"/>
    <w:rsid w:val="0007300A"/>
    <w:rsid w:val="00075B90"/>
    <w:rsid w:val="00080D2C"/>
    <w:rsid w:val="0008322F"/>
    <w:rsid w:val="000901B6"/>
    <w:rsid w:val="000929D2"/>
    <w:rsid w:val="00094652"/>
    <w:rsid w:val="00095B1E"/>
    <w:rsid w:val="00095E14"/>
    <w:rsid w:val="00097C7E"/>
    <w:rsid w:val="000A20E1"/>
    <w:rsid w:val="000A24A1"/>
    <w:rsid w:val="000A30BD"/>
    <w:rsid w:val="000A4619"/>
    <w:rsid w:val="000A5597"/>
    <w:rsid w:val="000B226A"/>
    <w:rsid w:val="000B3201"/>
    <w:rsid w:val="000B68B9"/>
    <w:rsid w:val="000C0034"/>
    <w:rsid w:val="000C0D03"/>
    <w:rsid w:val="000C0E73"/>
    <w:rsid w:val="000C23E7"/>
    <w:rsid w:val="000C4AB2"/>
    <w:rsid w:val="000C6C53"/>
    <w:rsid w:val="000D0459"/>
    <w:rsid w:val="000D42FB"/>
    <w:rsid w:val="000D43B0"/>
    <w:rsid w:val="000E11EE"/>
    <w:rsid w:val="000E2B12"/>
    <w:rsid w:val="000E2E3F"/>
    <w:rsid w:val="000E34C0"/>
    <w:rsid w:val="000E42CA"/>
    <w:rsid w:val="000F0174"/>
    <w:rsid w:val="000F3666"/>
    <w:rsid w:val="000F3961"/>
    <w:rsid w:val="000F56F6"/>
    <w:rsid w:val="000F5F8E"/>
    <w:rsid w:val="0010350D"/>
    <w:rsid w:val="001052B6"/>
    <w:rsid w:val="001076F3"/>
    <w:rsid w:val="00107E91"/>
    <w:rsid w:val="00111E97"/>
    <w:rsid w:val="00113E16"/>
    <w:rsid w:val="00113E4D"/>
    <w:rsid w:val="00116E3E"/>
    <w:rsid w:val="001207BF"/>
    <w:rsid w:val="00121896"/>
    <w:rsid w:val="001238D1"/>
    <w:rsid w:val="001327D1"/>
    <w:rsid w:val="00134C1D"/>
    <w:rsid w:val="0014021B"/>
    <w:rsid w:val="00141055"/>
    <w:rsid w:val="00145E7F"/>
    <w:rsid w:val="00146CE1"/>
    <w:rsid w:val="00147BE1"/>
    <w:rsid w:val="00152818"/>
    <w:rsid w:val="0015404E"/>
    <w:rsid w:val="001553E0"/>
    <w:rsid w:val="0015611A"/>
    <w:rsid w:val="00157235"/>
    <w:rsid w:val="00160AF5"/>
    <w:rsid w:val="0016115E"/>
    <w:rsid w:val="001630E9"/>
    <w:rsid w:val="00163E6D"/>
    <w:rsid w:val="00165EBD"/>
    <w:rsid w:val="00171B44"/>
    <w:rsid w:val="00172A12"/>
    <w:rsid w:val="00173DA8"/>
    <w:rsid w:val="0017481D"/>
    <w:rsid w:val="00174EDA"/>
    <w:rsid w:val="001751EB"/>
    <w:rsid w:val="00181991"/>
    <w:rsid w:val="00182BD3"/>
    <w:rsid w:val="00185A81"/>
    <w:rsid w:val="001871EE"/>
    <w:rsid w:val="0018730F"/>
    <w:rsid w:val="00187EFF"/>
    <w:rsid w:val="001963D5"/>
    <w:rsid w:val="001A3566"/>
    <w:rsid w:val="001A3B38"/>
    <w:rsid w:val="001A456F"/>
    <w:rsid w:val="001A7A42"/>
    <w:rsid w:val="001A7A79"/>
    <w:rsid w:val="001A7B58"/>
    <w:rsid w:val="001B0ACE"/>
    <w:rsid w:val="001B4058"/>
    <w:rsid w:val="001B4F7D"/>
    <w:rsid w:val="001B5830"/>
    <w:rsid w:val="001B7B10"/>
    <w:rsid w:val="001C17A2"/>
    <w:rsid w:val="001C46F0"/>
    <w:rsid w:val="001C7C52"/>
    <w:rsid w:val="001D1BF7"/>
    <w:rsid w:val="001D2DE4"/>
    <w:rsid w:val="001D43D8"/>
    <w:rsid w:val="001D5499"/>
    <w:rsid w:val="001E0C52"/>
    <w:rsid w:val="001E0E19"/>
    <w:rsid w:val="001E10E1"/>
    <w:rsid w:val="001E148D"/>
    <w:rsid w:val="001E2BDC"/>
    <w:rsid w:val="001E35CA"/>
    <w:rsid w:val="001E556E"/>
    <w:rsid w:val="001E6832"/>
    <w:rsid w:val="001F17E1"/>
    <w:rsid w:val="001F1C3E"/>
    <w:rsid w:val="001F322E"/>
    <w:rsid w:val="001F32C2"/>
    <w:rsid w:val="001F7568"/>
    <w:rsid w:val="001F79F4"/>
    <w:rsid w:val="001F7E10"/>
    <w:rsid w:val="00200015"/>
    <w:rsid w:val="002006C5"/>
    <w:rsid w:val="002018C9"/>
    <w:rsid w:val="00202512"/>
    <w:rsid w:val="00203B51"/>
    <w:rsid w:val="0020556C"/>
    <w:rsid w:val="0020564E"/>
    <w:rsid w:val="00217CEE"/>
    <w:rsid w:val="00224454"/>
    <w:rsid w:val="00224860"/>
    <w:rsid w:val="00225150"/>
    <w:rsid w:val="002256D3"/>
    <w:rsid w:val="00226C8C"/>
    <w:rsid w:val="00226EDE"/>
    <w:rsid w:val="00227790"/>
    <w:rsid w:val="00232AA6"/>
    <w:rsid w:val="00242DB9"/>
    <w:rsid w:val="0024330F"/>
    <w:rsid w:val="00243FA7"/>
    <w:rsid w:val="00244BD7"/>
    <w:rsid w:val="00246FD8"/>
    <w:rsid w:val="00247FDD"/>
    <w:rsid w:val="00250128"/>
    <w:rsid w:val="00254C9D"/>
    <w:rsid w:val="00263C6D"/>
    <w:rsid w:val="002648B1"/>
    <w:rsid w:val="0026641E"/>
    <w:rsid w:val="00272EF1"/>
    <w:rsid w:val="00274E5D"/>
    <w:rsid w:val="00276F88"/>
    <w:rsid w:val="0028049F"/>
    <w:rsid w:val="0028212A"/>
    <w:rsid w:val="002824AA"/>
    <w:rsid w:val="002851CE"/>
    <w:rsid w:val="00285632"/>
    <w:rsid w:val="002860A5"/>
    <w:rsid w:val="00286C7E"/>
    <w:rsid w:val="00287AF3"/>
    <w:rsid w:val="00287B93"/>
    <w:rsid w:val="0029020E"/>
    <w:rsid w:val="002903BF"/>
    <w:rsid w:val="00292BAF"/>
    <w:rsid w:val="0029489C"/>
    <w:rsid w:val="00297367"/>
    <w:rsid w:val="002A2C86"/>
    <w:rsid w:val="002A417D"/>
    <w:rsid w:val="002A47EE"/>
    <w:rsid w:val="002A487F"/>
    <w:rsid w:val="002A731F"/>
    <w:rsid w:val="002B34C4"/>
    <w:rsid w:val="002B37AD"/>
    <w:rsid w:val="002B3F3D"/>
    <w:rsid w:val="002B4D9E"/>
    <w:rsid w:val="002B556E"/>
    <w:rsid w:val="002C07DE"/>
    <w:rsid w:val="002C4201"/>
    <w:rsid w:val="002D10E3"/>
    <w:rsid w:val="002D27F2"/>
    <w:rsid w:val="002D34E1"/>
    <w:rsid w:val="002D4836"/>
    <w:rsid w:val="002D61D1"/>
    <w:rsid w:val="002E3731"/>
    <w:rsid w:val="002E6950"/>
    <w:rsid w:val="002F13EB"/>
    <w:rsid w:val="002F1575"/>
    <w:rsid w:val="002F1677"/>
    <w:rsid w:val="002F1A7F"/>
    <w:rsid w:val="003021BC"/>
    <w:rsid w:val="00303726"/>
    <w:rsid w:val="00316D9F"/>
    <w:rsid w:val="00325724"/>
    <w:rsid w:val="00334297"/>
    <w:rsid w:val="00334582"/>
    <w:rsid w:val="00335328"/>
    <w:rsid w:val="003366FA"/>
    <w:rsid w:val="0034047A"/>
    <w:rsid w:val="00343089"/>
    <w:rsid w:val="00343EF5"/>
    <w:rsid w:val="00346E5F"/>
    <w:rsid w:val="00357D6B"/>
    <w:rsid w:val="00362693"/>
    <w:rsid w:val="00362AEE"/>
    <w:rsid w:val="003637CB"/>
    <w:rsid w:val="00364B47"/>
    <w:rsid w:val="00366C8C"/>
    <w:rsid w:val="003672DD"/>
    <w:rsid w:val="00371156"/>
    <w:rsid w:val="003715EA"/>
    <w:rsid w:val="00374A18"/>
    <w:rsid w:val="00375DF4"/>
    <w:rsid w:val="00380882"/>
    <w:rsid w:val="003814F7"/>
    <w:rsid w:val="00387AAB"/>
    <w:rsid w:val="00390BF4"/>
    <w:rsid w:val="00394316"/>
    <w:rsid w:val="00394F07"/>
    <w:rsid w:val="003A12EE"/>
    <w:rsid w:val="003A19E3"/>
    <w:rsid w:val="003A2428"/>
    <w:rsid w:val="003A553D"/>
    <w:rsid w:val="003A67A0"/>
    <w:rsid w:val="003B0A92"/>
    <w:rsid w:val="003B5D50"/>
    <w:rsid w:val="003C062F"/>
    <w:rsid w:val="003C1021"/>
    <w:rsid w:val="003C3BC0"/>
    <w:rsid w:val="003D0080"/>
    <w:rsid w:val="003D2A01"/>
    <w:rsid w:val="003D3126"/>
    <w:rsid w:val="003D4BA7"/>
    <w:rsid w:val="003D6A71"/>
    <w:rsid w:val="003D746A"/>
    <w:rsid w:val="003E1591"/>
    <w:rsid w:val="003E4380"/>
    <w:rsid w:val="003E43AE"/>
    <w:rsid w:val="003E5E08"/>
    <w:rsid w:val="003F252B"/>
    <w:rsid w:val="003F2C29"/>
    <w:rsid w:val="003F2D45"/>
    <w:rsid w:val="003F381B"/>
    <w:rsid w:val="003F5879"/>
    <w:rsid w:val="00400E4F"/>
    <w:rsid w:val="004018E5"/>
    <w:rsid w:val="0040202A"/>
    <w:rsid w:val="00403812"/>
    <w:rsid w:val="00405157"/>
    <w:rsid w:val="00410309"/>
    <w:rsid w:val="00417355"/>
    <w:rsid w:val="004226A9"/>
    <w:rsid w:val="00425C0A"/>
    <w:rsid w:val="00425DED"/>
    <w:rsid w:val="004277F9"/>
    <w:rsid w:val="00431247"/>
    <w:rsid w:val="00432741"/>
    <w:rsid w:val="00433B68"/>
    <w:rsid w:val="0044016D"/>
    <w:rsid w:val="0044058E"/>
    <w:rsid w:val="004419AD"/>
    <w:rsid w:val="00443110"/>
    <w:rsid w:val="00446629"/>
    <w:rsid w:val="00447B8B"/>
    <w:rsid w:val="00451987"/>
    <w:rsid w:val="00456981"/>
    <w:rsid w:val="00457DE9"/>
    <w:rsid w:val="00461EF1"/>
    <w:rsid w:val="00463D44"/>
    <w:rsid w:val="004645D1"/>
    <w:rsid w:val="004654D0"/>
    <w:rsid w:val="0046786D"/>
    <w:rsid w:val="00470372"/>
    <w:rsid w:val="00470DA9"/>
    <w:rsid w:val="004802DA"/>
    <w:rsid w:val="004843B0"/>
    <w:rsid w:val="00485F4F"/>
    <w:rsid w:val="00496C05"/>
    <w:rsid w:val="00496E08"/>
    <w:rsid w:val="004A23D7"/>
    <w:rsid w:val="004B2087"/>
    <w:rsid w:val="004B21F2"/>
    <w:rsid w:val="004B2C29"/>
    <w:rsid w:val="004B599D"/>
    <w:rsid w:val="004B614D"/>
    <w:rsid w:val="004C273E"/>
    <w:rsid w:val="004C3715"/>
    <w:rsid w:val="004D102D"/>
    <w:rsid w:val="004D1165"/>
    <w:rsid w:val="004D11F9"/>
    <w:rsid w:val="004D359A"/>
    <w:rsid w:val="004D6BE7"/>
    <w:rsid w:val="004D7143"/>
    <w:rsid w:val="004E002F"/>
    <w:rsid w:val="004E1658"/>
    <w:rsid w:val="004E5BE0"/>
    <w:rsid w:val="004E5C1D"/>
    <w:rsid w:val="004E5EC5"/>
    <w:rsid w:val="004F478C"/>
    <w:rsid w:val="004F51B4"/>
    <w:rsid w:val="005059B9"/>
    <w:rsid w:val="00510F5A"/>
    <w:rsid w:val="00513C35"/>
    <w:rsid w:val="00513DC5"/>
    <w:rsid w:val="0051684C"/>
    <w:rsid w:val="005177DA"/>
    <w:rsid w:val="00520F82"/>
    <w:rsid w:val="0052231E"/>
    <w:rsid w:val="005225D5"/>
    <w:rsid w:val="005232B1"/>
    <w:rsid w:val="00523349"/>
    <w:rsid w:val="0052435C"/>
    <w:rsid w:val="00526303"/>
    <w:rsid w:val="00526ECA"/>
    <w:rsid w:val="00531E81"/>
    <w:rsid w:val="00532264"/>
    <w:rsid w:val="00532E02"/>
    <w:rsid w:val="00532E4F"/>
    <w:rsid w:val="00532EED"/>
    <w:rsid w:val="005349F2"/>
    <w:rsid w:val="0054044C"/>
    <w:rsid w:val="005459B8"/>
    <w:rsid w:val="00553EE3"/>
    <w:rsid w:val="005557AE"/>
    <w:rsid w:val="005560FD"/>
    <w:rsid w:val="00557BD6"/>
    <w:rsid w:val="0056185A"/>
    <w:rsid w:val="00561BC2"/>
    <w:rsid w:val="00565BED"/>
    <w:rsid w:val="00566CEB"/>
    <w:rsid w:val="00573475"/>
    <w:rsid w:val="005751D3"/>
    <w:rsid w:val="00576AD5"/>
    <w:rsid w:val="00577687"/>
    <w:rsid w:val="005818CF"/>
    <w:rsid w:val="005823FE"/>
    <w:rsid w:val="00590334"/>
    <w:rsid w:val="00591287"/>
    <w:rsid w:val="00592DD0"/>
    <w:rsid w:val="00593A28"/>
    <w:rsid w:val="00595980"/>
    <w:rsid w:val="005A1ED2"/>
    <w:rsid w:val="005A70C3"/>
    <w:rsid w:val="005B1BAC"/>
    <w:rsid w:val="005B1BB5"/>
    <w:rsid w:val="005B3462"/>
    <w:rsid w:val="005B37AC"/>
    <w:rsid w:val="005B3AE0"/>
    <w:rsid w:val="005B5D71"/>
    <w:rsid w:val="005C0840"/>
    <w:rsid w:val="005C6192"/>
    <w:rsid w:val="005C6ABD"/>
    <w:rsid w:val="005D3ABB"/>
    <w:rsid w:val="005D4A3C"/>
    <w:rsid w:val="005E2FBC"/>
    <w:rsid w:val="005E715B"/>
    <w:rsid w:val="005F01A5"/>
    <w:rsid w:val="005F0ACA"/>
    <w:rsid w:val="005F1192"/>
    <w:rsid w:val="005F4BFA"/>
    <w:rsid w:val="005F5CB4"/>
    <w:rsid w:val="00601E4D"/>
    <w:rsid w:val="00602CDE"/>
    <w:rsid w:val="006030FD"/>
    <w:rsid w:val="0061018A"/>
    <w:rsid w:val="006111B5"/>
    <w:rsid w:val="0061218B"/>
    <w:rsid w:val="006130BE"/>
    <w:rsid w:val="00613481"/>
    <w:rsid w:val="0061508F"/>
    <w:rsid w:val="00616A09"/>
    <w:rsid w:val="006204EB"/>
    <w:rsid w:val="006214F5"/>
    <w:rsid w:val="00624903"/>
    <w:rsid w:val="0062646B"/>
    <w:rsid w:val="00631728"/>
    <w:rsid w:val="006322C8"/>
    <w:rsid w:val="006329E1"/>
    <w:rsid w:val="00634C5A"/>
    <w:rsid w:val="006356A5"/>
    <w:rsid w:val="006370BB"/>
    <w:rsid w:val="0063743A"/>
    <w:rsid w:val="00644B58"/>
    <w:rsid w:val="00644E86"/>
    <w:rsid w:val="006472E2"/>
    <w:rsid w:val="00651536"/>
    <w:rsid w:val="00655C67"/>
    <w:rsid w:val="00656F20"/>
    <w:rsid w:val="0066027B"/>
    <w:rsid w:val="0066592E"/>
    <w:rsid w:val="00674322"/>
    <w:rsid w:val="00674D64"/>
    <w:rsid w:val="00680AD4"/>
    <w:rsid w:val="0068399D"/>
    <w:rsid w:val="00684F54"/>
    <w:rsid w:val="0068611B"/>
    <w:rsid w:val="00686835"/>
    <w:rsid w:val="00687CCA"/>
    <w:rsid w:val="00690DA4"/>
    <w:rsid w:val="00691F27"/>
    <w:rsid w:val="0069205B"/>
    <w:rsid w:val="0069313B"/>
    <w:rsid w:val="006A193E"/>
    <w:rsid w:val="006A4DED"/>
    <w:rsid w:val="006A7353"/>
    <w:rsid w:val="006A7DBF"/>
    <w:rsid w:val="006B0096"/>
    <w:rsid w:val="006B2AEB"/>
    <w:rsid w:val="006B2BC9"/>
    <w:rsid w:val="006B2E63"/>
    <w:rsid w:val="006B776D"/>
    <w:rsid w:val="006B78E6"/>
    <w:rsid w:val="006B78EF"/>
    <w:rsid w:val="006C08C2"/>
    <w:rsid w:val="006C1E8B"/>
    <w:rsid w:val="006C1F25"/>
    <w:rsid w:val="006C2BB7"/>
    <w:rsid w:val="006C524A"/>
    <w:rsid w:val="006C5ED9"/>
    <w:rsid w:val="006D01D9"/>
    <w:rsid w:val="006D11A9"/>
    <w:rsid w:val="006D68CA"/>
    <w:rsid w:val="006D6EC0"/>
    <w:rsid w:val="006E1AFE"/>
    <w:rsid w:val="006E56A9"/>
    <w:rsid w:val="006E58C7"/>
    <w:rsid w:val="006E652E"/>
    <w:rsid w:val="006F1487"/>
    <w:rsid w:val="006F2F0E"/>
    <w:rsid w:val="007031C0"/>
    <w:rsid w:val="00704195"/>
    <w:rsid w:val="007075E9"/>
    <w:rsid w:val="0071093F"/>
    <w:rsid w:val="0071132E"/>
    <w:rsid w:val="00711882"/>
    <w:rsid w:val="007124CE"/>
    <w:rsid w:val="007148EB"/>
    <w:rsid w:val="00715229"/>
    <w:rsid w:val="007172A0"/>
    <w:rsid w:val="00720FA4"/>
    <w:rsid w:val="00721087"/>
    <w:rsid w:val="007214C2"/>
    <w:rsid w:val="0072181A"/>
    <w:rsid w:val="00723190"/>
    <w:rsid w:val="00723E83"/>
    <w:rsid w:val="00731A6C"/>
    <w:rsid w:val="00734F7A"/>
    <w:rsid w:val="00735471"/>
    <w:rsid w:val="00740823"/>
    <w:rsid w:val="007452CF"/>
    <w:rsid w:val="00745C35"/>
    <w:rsid w:val="00752458"/>
    <w:rsid w:val="007528EE"/>
    <w:rsid w:val="00753060"/>
    <w:rsid w:val="00753284"/>
    <w:rsid w:val="00753C37"/>
    <w:rsid w:val="00754804"/>
    <w:rsid w:val="00755168"/>
    <w:rsid w:val="00760591"/>
    <w:rsid w:val="00761570"/>
    <w:rsid w:val="007617D8"/>
    <w:rsid w:val="00762F52"/>
    <w:rsid w:val="00764891"/>
    <w:rsid w:val="00767762"/>
    <w:rsid w:val="00771973"/>
    <w:rsid w:val="00771AD2"/>
    <w:rsid w:val="00773915"/>
    <w:rsid w:val="007751A0"/>
    <w:rsid w:val="00776CE8"/>
    <w:rsid w:val="00780E2D"/>
    <w:rsid w:val="00783DC4"/>
    <w:rsid w:val="007841AD"/>
    <w:rsid w:val="00786650"/>
    <w:rsid w:val="007867A1"/>
    <w:rsid w:val="00786B00"/>
    <w:rsid w:val="00786BE7"/>
    <w:rsid w:val="00786DF8"/>
    <w:rsid w:val="00787BE8"/>
    <w:rsid w:val="00791D03"/>
    <w:rsid w:val="007926F6"/>
    <w:rsid w:val="00795056"/>
    <w:rsid w:val="0079560C"/>
    <w:rsid w:val="007A50C6"/>
    <w:rsid w:val="007A56F7"/>
    <w:rsid w:val="007A6DD9"/>
    <w:rsid w:val="007B319F"/>
    <w:rsid w:val="007B6620"/>
    <w:rsid w:val="007C1DE9"/>
    <w:rsid w:val="007D0EEB"/>
    <w:rsid w:val="007D21FB"/>
    <w:rsid w:val="007D555D"/>
    <w:rsid w:val="007D6ACD"/>
    <w:rsid w:val="007E19E3"/>
    <w:rsid w:val="007E1EC4"/>
    <w:rsid w:val="007E7990"/>
    <w:rsid w:val="007E7ACE"/>
    <w:rsid w:val="007F1A9A"/>
    <w:rsid w:val="007F1D91"/>
    <w:rsid w:val="007F339D"/>
    <w:rsid w:val="007F49FE"/>
    <w:rsid w:val="007F4D29"/>
    <w:rsid w:val="007F60FC"/>
    <w:rsid w:val="0080112D"/>
    <w:rsid w:val="00805CA0"/>
    <w:rsid w:val="008062C8"/>
    <w:rsid w:val="00806546"/>
    <w:rsid w:val="00806F3F"/>
    <w:rsid w:val="0081457E"/>
    <w:rsid w:val="008269BE"/>
    <w:rsid w:val="00827264"/>
    <w:rsid w:val="008305E6"/>
    <w:rsid w:val="00830A22"/>
    <w:rsid w:val="008353BE"/>
    <w:rsid w:val="008353DE"/>
    <w:rsid w:val="008359EE"/>
    <w:rsid w:val="00836551"/>
    <w:rsid w:val="008377BF"/>
    <w:rsid w:val="00842227"/>
    <w:rsid w:val="00843714"/>
    <w:rsid w:val="00843F0F"/>
    <w:rsid w:val="00844680"/>
    <w:rsid w:val="00845404"/>
    <w:rsid w:val="008469B0"/>
    <w:rsid w:val="00850D2C"/>
    <w:rsid w:val="0085425A"/>
    <w:rsid w:val="0085529B"/>
    <w:rsid w:val="00855D08"/>
    <w:rsid w:val="008568F8"/>
    <w:rsid w:val="00857243"/>
    <w:rsid w:val="00861528"/>
    <w:rsid w:val="008624B7"/>
    <w:rsid w:val="00862D13"/>
    <w:rsid w:val="0086518C"/>
    <w:rsid w:val="00866DDC"/>
    <w:rsid w:val="0086766A"/>
    <w:rsid w:val="00873046"/>
    <w:rsid w:val="00873338"/>
    <w:rsid w:val="008808A7"/>
    <w:rsid w:val="00880F4F"/>
    <w:rsid w:val="00886D87"/>
    <w:rsid w:val="00890472"/>
    <w:rsid w:val="00890E3C"/>
    <w:rsid w:val="008919E2"/>
    <w:rsid w:val="00891DCE"/>
    <w:rsid w:val="00892C04"/>
    <w:rsid w:val="00894C23"/>
    <w:rsid w:val="00894D89"/>
    <w:rsid w:val="0089722B"/>
    <w:rsid w:val="008977A0"/>
    <w:rsid w:val="008A38CE"/>
    <w:rsid w:val="008A3C6A"/>
    <w:rsid w:val="008A43B9"/>
    <w:rsid w:val="008B2A9F"/>
    <w:rsid w:val="008B5C08"/>
    <w:rsid w:val="008B65F6"/>
    <w:rsid w:val="008B6821"/>
    <w:rsid w:val="008B70AC"/>
    <w:rsid w:val="008C3B5A"/>
    <w:rsid w:val="008C3CE5"/>
    <w:rsid w:val="008C51DC"/>
    <w:rsid w:val="008C7C38"/>
    <w:rsid w:val="008D2FA9"/>
    <w:rsid w:val="008D30A6"/>
    <w:rsid w:val="008D7714"/>
    <w:rsid w:val="008E0D85"/>
    <w:rsid w:val="008E1BDF"/>
    <w:rsid w:val="008E1E99"/>
    <w:rsid w:val="008E6A68"/>
    <w:rsid w:val="008E75B0"/>
    <w:rsid w:val="008F010C"/>
    <w:rsid w:val="008F14AD"/>
    <w:rsid w:val="008F1A99"/>
    <w:rsid w:val="008F52AF"/>
    <w:rsid w:val="008F7DDC"/>
    <w:rsid w:val="00904814"/>
    <w:rsid w:val="00904C08"/>
    <w:rsid w:val="00913402"/>
    <w:rsid w:val="00915EFE"/>
    <w:rsid w:val="00915F57"/>
    <w:rsid w:val="009268BB"/>
    <w:rsid w:val="0092759C"/>
    <w:rsid w:val="009279A8"/>
    <w:rsid w:val="009313B0"/>
    <w:rsid w:val="009326D7"/>
    <w:rsid w:val="009359EF"/>
    <w:rsid w:val="00935DE3"/>
    <w:rsid w:val="00940DDA"/>
    <w:rsid w:val="0094756F"/>
    <w:rsid w:val="00950869"/>
    <w:rsid w:val="0095127A"/>
    <w:rsid w:val="009514EB"/>
    <w:rsid w:val="009559CF"/>
    <w:rsid w:val="00956A61"/>
    <w:rsid w:val="00957D91"/>
    <w:rsid w:val="00966431"/>
    <w:rsid w:val="00967102"/>
    <w:rsid w:val="00970FBC"/>
    <w:rsid w:val="00971B12"/>
    <w:rsid w:val="00973D39"/>
    <w:rsid w:val="009743BA"/>
    <w:rsid w:val="00975AF0"/>
    <w:rsid w:val="00982C78"/>
    <w:rsid w:val="009841DF"/>
    <w:rsid w:val="00984785"/>
    <w:rsid w:val="009874DC"/>
    <w:rsid w:val="009A0F36"/>
    <w:rsid w:val="009A0F51"/>
    <w:rsid w:val="009B0B14"/>
    <w:rsid w:val="009B0BA2"/>
    <w:rsid w:val="009B1788"/>
    <w:rsid w:val="009B1849"/>
    <w:rsid w:val="009B29AD"/>
    <w:rsid w:val="009B450A"/>
    <w:rsid w:val="009B7363"/>
    <w:rsid w:val="009B780E"/>
    <w:rsid w:val="009C060F"/>
    <w:rsid w:val="009C17BE"/>
    <w:rsid w:val="009C4D2F"/>
    <w:rsid w:val="009C69A2"/>
    <w:rsid w:val="009E1229"/>
    <w:rsid w:val="009E524F"/>
    <w:rsid w:val="009E612C"/>
    <w:rsid w:val="009F1AED"/>
    <w:rsid w:val="009F36EB"/>
    <w:rsid w:val="009F42C4"/>
    <w:rsid w:val="00A010ED"/>
    <w:rsid w:val="00A04CB7"/>
    <w:rsid w:val="00A0566D"/>
    <w:rsid w:val="00A05B3E"/>
    <w:rsid w:val="00A12C0F"/>
    <w:rsid w:val="00A173FC"/>
    <w:rsid w:val="00A17A03"/>
    <w:rsid w:val="00A21A18"/>
    <w:rsid w:val="00A3187C"/>
    <w:rsid w:val="00A337E9"/>
    <w:rsid w:val="00A3553D"/>
    <w:rsid w:val="00A3558D"/>
    <w:rsid w:val="00A36772"/>
    <w:rsid w:val="00A417FD"/>
    <w:rsid w:val="00A42613"/>
    <w:rsid w:val="00A45668"/>
    <w:rsid w:val="00A459A8"/>
    <w:rsid w:val="00A45EE3"/>
    <w:rsid w:val="00A573F0"/>
    <w:rsid w:val="00A6063F"/>
    <w:rsid w:val="00A616A5"/>
    <w:rsid w:val="00A617A7"/>
    <w:rsid w:val="00A61B47"/>
    <w:rsid w:val="00A63527"/>
    <w:rsid w:val="00A6426D"/>
    <w:rsid w:val="00A65B7E"/>
    <w:rsid w:val="00A67CCB"/>
    <w:rsid w:val="00A72F8E"/>
    <w:rsid w:val="00A731D7"/>
    <w:rsid w:val="00A761D7"/>
    <w:rsid w:val="00A822D0"/>
    <w:rsid w:val="00A83A35"/>
    <w:rsid w:val="00A8569E"/>
    <w:rsid w:val="00A86651"/>
    <w:rsid w:val="00A87DAB"/>
    <w:rsid w:val="00A93272"/>
    <w:rsid w:val="00A935A5"/>
    <w:rsid w:val="00A94F91"/>
    <w:rsid w:val="00AA27CC"/>
    <w:rsid w:val="00AA42A5"/>
    <w:rsid w:val="00AA4C7C"/>
    <w:rsid w:val="00AB2446"/>
    <w:rsid w:val="00AB42F8"/>
    <w:rsid w:val="00AB525B"/>
    <w:rsid w:val="00AB6C49"/>
    <w:rsid w:val="00AC034A"/>
    <w:rsid w:val="00AC07DB"/>
    <w:rsid w:val="00AC2A98"/>
    <w:rsid w:val="00AC361E"/>
    <w:rsid w:val="00AC4AB6"/>
    <w:rsid w:val="00AD1B15"/>
    <w:rsid w:val="00AD20E7"/>
    <w:rsid w:val="00AD3232"/>
    <w:rsid w:val="00AD6B09"/>
    <w:rsid w:val="00AD7D8A"/>
    <w:rsid w:val="00AE02CB"/>
    <w:rsid w:val="00AE37C8"/>
    <w:rsid w:val="00AE6349"/>
    <w:rsid w:val="00AE7551"/>
    <w:rsid w:val="00AF0986"/>
    <w:rsid w:val="00AF53A6"/>
    <w:rsid w:val="00B0101A"/>
    <w:rsid w:val="00B06883"/>
    <w:rsid w:val="00B126D1"/>
    <w:rsid w:val="00B12D6C"/>
    <w:rsid w:val="00B13578"/>
    <w:rsid w:val="00B1428F"/>
    <w:rsid w:val="00B14667"/>
    <w:rsid w:val="00B16DAB"/>
    <w:rsid w:val="00B23B1A"/>
    <w:rsid w:val="00B250A9"/>
    <w:rsid w:val="00B260D0"/>
    <w:rsid w:val="00B26EBB"/>
    <w:rsid w:val="00B324B5"/>
    <w:rsid w:val="00B366B1"/>
    <w:rsid w:val="00B404D5"/>
    <w:rsid w:val="00B41D1C"/>
    <w:rsid w:val="00B42E4A"/>
    <w:rsid w:val="00B432F6"/>
    <w:rsid w:val="00B4423B"/>
    <w:rsid w:val="00B500C3"/>
    <w:rsid w:val="00B56C48"/>
    <w:rsid w:val="00B6015E"/>
    <w:rsid w:val="00B6113D"/>
    <w:rsid w:val="00B61866"/>
    <w:rsid w:val="00B65740"/>
    <w:rsid w:val="00B750D3"/>
    <w:rsid w:val="00B75920"/>
    <w:rsid w:val="00B75B71"/>
    <w:rsid w:val="00B80DA3"/>
    <w:rsid w:val="00B81F82"/>
    <w:rsid w:val="00B823D5"/>
    <w:rsid w:val="00B83FDC"/>
    <w:rsid w:val="00B84C4D"/>
    <w:rsid w:val="00B85F61"/>
    <w:rsid w:val="00B91976"/>
    <w:rsid w:val="00B93421"/>
    <w:rsid w:val="00B949AE"/>
    <w:rsid w:val="00BA27DA"/>
    <w:rsid w:val="00BA52D8"/>
    <w:rsid w:val="00BA5DE1"/>
    <w:rsid w:val="00BB2798"/>
    <w:rsid w:val="00BB2A02"/>
    <w:rsid w:val="00BC19BA"/>
    <w:rsid w:val="00BC45CB"/>
    <w:rsid w:val="00BC476A"/>
    <w:rsid w:val="00BD2A61"/>
    <w:rsid w:val="00BD2FDC"/>
    <w:rsid w:val="00BD3AB1"/>
    <w:rsid w:val="00BD40CE"/>
    <w:rsid w:val="00BD532F"/>
    <w:rsid w:val="00BE04C9"/>
    <w:rsid w:val="00BE0BC9"/>
    <w:rsid w:val="00BE0C21"/>
    <w:rsid w:val="00BE3C02"/>
    <w:rsid w:val="00BE432C"/>
    <w:rsid w:val="00BE4EDC"/>
    <w:rsid w:val="00BF7B00"/>
    <w:rsid w:val="00C21D79"/>
    <w:rsid w:val="00C32113"/>
    <w:rsid w:val="00C3269C"/>
    <w:rsid w:val="00C33373"/>
    <w:rsid w:val="00C346A3"/>
    <w:rsid w:val="00C368A6"/>
    <w:rsid w:val="00C36AB3"/>
    <w:rsid w:val="00C40182"/>
    <w:rsid w:val="00C41336"/>
    <w:rsid w:val="00C462C2"/>
    <w:rsid w:val="00C550E8"/>
    <w:rsid w:val="00C55500"/>
    <w:rsid w:val="00C55F55"/>
    <w:rsid w:val="00C575EF"/>
    <w:rsid w:val="00C60652"/>
    <w:rsid w:val="00C707E8"/>
    <w:rsid w:val="00C72D3B"/>
    <w:rsid w:val="00C73A61"/>
    <w:rsid w:val="00C74C37"/>
    <w:rsid w:val="00C74CC0"/>
    <w:rsid w:val="00C756FA"/>
    <w:rsid w:val="00C7792E"/>
    <w:rsid w:val="00C862AC"/>
    <w:rsid w:val="00C87C9B"/>
    <w:rsid w:val="00C93DCB"/>
    <w:rsid w:val="00CA1ACA"/>
    <w:rsid w:val="00CA5053"/>
    <w:rsid w:val="00CA56F6"/>
    <w:rsid w:val="00CA74C9"/>
    <w:rsid w:val="00CB1DE5"/>
    <w:rsid w:val="00CB2994"/>
    <w:rsid w:val="00CB2DD8"/>
    <w:rsid w:val="00CB3F36"/>
    <w:rsid w:val="00CB53E3"/>
    <w:rsid w:val="00CC1A75"/>
    <w:rsid w:val="00CC4559"/>
    <w:rsid w:val="00CC5927"/>
    <w:rsid w:val="00CC6988"/>
    <w:rsid w:val="00CD225B"/>
    <w:rsid w:val="00CD2408"/>
    <w:rsid w:val="00CD2D2D"/>
    <w:rsid w:val="00CD43F9"/>
    <w:rsid w:val="00CD6777"/>
    <w:rsid w:val="00CD723D"/>
    <w:rsid w:val="00CD794D"/>
    <w:rsid w:val="00CE1266"/>
    <w:rsid w:val="00CE6347"/>
    <w:rsid w:val="00CE6B51"/>
    <w:rsid w:val="00CE7CC9"/>
    <w:rsid w:val="00CF18C6"/>
    <w:rsid w:val="00CF2561"/>
    <w:rsid w:val="00CF3AE1"/>
    <w:rsid w:val="00CF5F22"/>
    <w:rsid w:val="00CF6451"/>
    <w:rsid w:val="00CF6795"/>
    <w:rsid w:val="00CF77D4"/>
    <w:rsid w:val="00D0127B"/>
    <w:rsid w:val="00D01677"/>
    <w:rsid w:val="00D01A67"/>
    <w:rsid w:val="00D01F6A"/>
    <w:rsid w:val="00D05008"/>
    <w:rsid w:val="00D05A9A"/>
    <w:rsid w:val="00D05D42"/>
    <w:rsid w:val="00D06907"/>
    <w:rsid w:val="00D10EA2"/>
    <w:rsid w:val="00D11D30"/>
    <w:rsid w:val="00D11E98"/>
    <w:rsid w:val="00D16340"/>
    <w:rsid w:val="00D166B3"/>
    <w:rsid w:val="00D16C3E"/>
    <w:rsid w:val="00D212BF"/>
    <w:rsid w:val="00D22725"/>
    <w:rsid w:val="00D22738"/>
    <w:rsid w:val="00D26527"/>
    <w:rsid w:val="00D355F8"/>
    <w:rsid w:val="00D36957"/>
    <w:rsid w:val="00D3739F"/>
    <w:rsid w:val="00D42E53"/>
    <w:rsid w:val="00D45D26"/>
    <w:rsid w:val="00D46938"/>
    <w:rsid w:val="00D50622"/>
    <w:rsid w:val="00D6073D"/>
    <w:rsid w:val="00D61750"/>
    <w:rsid w:val="00D61979"/>
    <w:rsid w:val="00D61A4F"/>
    <w:rsid w:val="00D63DCF"/>
    <w:rsid w:val="00D64290"/>
    <w:rsid w:val="00D701EC"/>
    <w:rsid w:val="00D70DC1"/>
    <w:rsid w:val="00D73E43"/>
    <w:rsid w:val="00D76007"/>
    <w:rsid w:val="00D800B8"/>
    <w:rsid w:val="00D8111B"/>
    <w:rsid w:val="00D84283"/>
    <w:rsid w:val="00D85675"/>
    <w:rsid w:val="00D87200"/>
    <w:rsid w:val="00D873CA"/>
    <w:rsid w:val="00D875AE"/>
    <w:rsid w:val="00D92B95"/>
    <w:rsid w:val="00D92E24"/>
    <w:rsid w:val="00D93A10"/>
    <w:rsid w:val="00D95C07"/>
    <w:rsid w:val="00D970AF"/>
    <w:rsid w:val="00DA02C4"/>
    <w:rsid w:val="00DA1E95"/>
    <w:rsid w:val="00DA763B"/>
    <w:rsid w:val="00DB0DCC"/>
    <w:rsid w:val="00DB0FB5"/>
    <w:rsid w:val="00DB1FBE"/>
    <w:rsid w:val="00DB2B90"/>
    <w:rsid w:val="00DC1A81"/>
    <w:rsid w:val="00DC4C16"/>
    <w:rsid w:val="00DC6C41"/>
    <w:rsid w:val="00DC703D"/>
    <w:rsid w:val="00DD27FE"/>
    <w:rsid w:val="00DD2E27"/>
    <w:rsid w:val="00DD482E"/>
    <w:rsid w:val="00DE0A88"/>
    <w:rsid w:val="00DE0ECD"/>
    <w:rsid w:val="00DE10D6"/>
    <w:rsid w:val="00DE12D4"/>
    <w:rsid w:val="00DE1E7A"/>
    <w:rsid w:val="00DE1FD3"/>
    <w:rsid w:val="00DE355D"/>
    <w:rsid w:val="00DF126D"/>
    <w:rsid w:val="00DF1A69"/>
    <w:rsid w:val="00DF2CAA"/>
    <w:rsid w:val="00DF3762"/>
    <w:rsid w:val="00DF38DA"/>
    <w:rsid w:val="00DF3DCC"/>
    <w:rsid w:val="00DF3FC7"/>
    <w:rsid w:val="00DF5596"/>
    <w:rsid w:val="00DF5AED"/>
    <w:rsid w:val="00DF7BCE"/>
    <w:rsid w:val="00DF7DB4"/>
    <w:rsid w:val="00E0123A"/>
    <w:rsid w:val="00E028CD"/>
    <w:rsid w:val="00E029A1"/>
    <w:rsid w:val="00E04EA9"/>
    <w:rsid w:val="00E07E9A"/>
    <w:rsid w:val="00E10A4F"/>
    <w:rsid w:val="00E1257A"/>
    <w:rsid w:val="00E13192"/>
    <w:rsid w:val="00E15B66"/>
    <w:rsid w:val="00E164A1"/>
    <w:rsid w:val="00E2045B"/>
    <w:rsid w:val="00E22C16"/>
    <w:rsid w:val="00E23763"/>
    <w:rsid w:val="00E261DF"/>
    <w:rsid w:val="00E321A6"/>
    <w:rsid w:val="00E36F56"/>
    <w:rsid w:val="00E436DF"/>
    <w:rsid w:val="00E43E00"/>
    <w:rsid w:val="00E450E5"/>
    <w:rsid w:val="00E458D4"/>
    <w:rsid w:val="00E462A6"/>
    <w:rsid w:val="00E514E9"/>
    <w:rsid w:val="00E51F2B"/>
    <w:rsid w:val="00E52C5C"/>
    <w:rsid w:val="00E55B89"/>
    <w:rsid w:val="00E56330"/>
    <w:rsid w:val="00E60836"/>
    <w:rsid w:val="00E61F9C"/>
    <w:rsid w:val="00E654EC"/>
    <w:rsid w:val="00E65D9C"/>
    <w:rsid w:val="00E7348E"/>
    <w:rsid w:val="00E73BED"/>
    <w:rsid w:val="00E76DF2"/>
    <w:rsid w:val="00E8318D"/>
    <w:rsid w:val="00E84556"/>
    <w:rsid w:val="00E8663A"/>
    <w:rsid w:val="00E86D53"/>
    <w:rsid w:val="00E94525"/>
    <w:rsid w:val="00E947F1"/>
    <w:rsid w:val="00E94C9F"/>
    <w:rsid w:val="00E95D2E"/>
    <w:rsid w:val="00E95EF5"/>
    <w:rsid w:val="00EA4452"/>
    <w:rsid w:val="00EB6734"/>
    <w:rsid w:val="00EB69FE"/>
    <w:rsid w:val="00EC1EAF"/>
    <w:rsid w:val="00EC29D0"/>
    <w:rsid w:val="00EC3AD1"/>
    <w:rsid w:val="00ED0613"/>
    <w:rsid w:val="00ED30E4"/>
    <w:rsid w:val="00ED5D69"/>
    <w:rsid w:val="00ED631E"/>
    <w:rsid w:val="00EE33DC"/>
    <w:rsid w:val="00EE6954"/>
    <w:rsid w:val="00EE6B0C"/>
    <w:rsid w:val="00EE7854"/>
    <w:rsid w:val="00EE7E95"/>
    <w:rsid w:val="00EF3457"/>
    <w:rsid w:val="00EF7507"/>
    <w:rsid w:val="00F005D4"/>
    <w:rsid w:val="00F00CCD"/>
    <w:rsid w:val="00F029CC"/>
    <w:rsid w:val="00F031EC"/>
    <w:rsid w:val="00F0417F"/>
    <w:rsid w:val="00F109F4"/>
    <w:rsid w:val="00F17E5A"/>
    <w:rsid w:val="00F21056"/>
    <w:rsid w:val="00F21BE4"/>
    <w:rsid w:val="00F24394"/>
    <w:rsid w:val="00F27138"/>
    <w:rsid w:val="00F31B8F"/>
    <w:rsid w:val="00F32BB2"/>
    <w:rsid w:val="00F36368"/>
    <w:rsid w:val="00F37112"/>
    <w:rsid w:val="00F378AC"/>
    <w:rsid w:val="00F41D56"/>
    <w:rsid w:val="00F45C39"/>
    <w:rsid w:val="00F530DD"/>
    <w:rsid w:val="00F54DED"/>
    <w:rsid w:val="00F556FD"/>
    <w:rsid w:val="00F576EF"/>
    <w:rsid w:val="00F6285C"/>
    <w:rsid w:val="00F634CE"/>
    <w:rsid w:val="00F67D52"/>
    <w:rsid w:val="00F70B64"/>
    <w:rsid w:val="00F71F24"/>
    <w:rsid w:val="00F72D7A"/>
    <w:rsid w:val="00F75B36"/>
    <w:rsid w:val="00F76C2A"/>
    <w:rsid w:val="00F817A2"/>
    <w:rsid w:val="00F82804"/>
    <w:rsid w:val="00F86CBD"/>
    <w:rsid w:val="00F913E1"/>
    <w:rsid w:val="00F9386F"/>
    <w:rsid w:val="00F94E21"/>
    <w:rsid w:val="00F96AB5"/>
    <w:rsid w:val="00FA313D"/>
    <w:rsid w:val="00FA498C"/>
    <w:rsid w:val="00FA5A44"/>
    <w:rsid w:val="00FA62B2"/>
    <w:rsid w:val="00FA7537"/>
    <w:rsid w:val="00FB33AD"/>
    <w:rsid w:val="00FB5813"/>
    <w:rsid w:val="00FB6CC4"/>
    <w:rsid w:val="00FB7E93"/>
    <w:rsid w:val="00FC3190"/>
    <w:rsid w:val="00FC334C"/>
    <w:rsid w:val="00FC4124"/>
    <w:rsid w:val="00FC4DC6"/>
    <w:rsid w:val="00FD5215"/>
    <w:rsid w:val="00FE03BB"/>
    <w:rsid w:val="00FF2F55"/>
    <w:rsid w:val="00FF45AE"/>
    <w:rsid w:val="00FF5E4B"/>
    <w:rsid w:val="00FF626D"/>
    <w:rsid w:val="00FF7D9C"/>
    <w:rsid w:val="00FF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92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75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5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75920"/>
    <w:pPr>
      <w:ind w:left="720"/>
      <w:contextualSpacing/>
    </w:pPr>
  </w:style>
  <w:style w:type="paragraph" w:customStyle="1" w:styleId="Default">
    <w:name w:val="Default"/>
    <w:rsid w:val="00441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..(..)"/>
    <w:basedOn w:val="Default"/>
    <w:next w:val="Default"/>
    <w:uiPriority w:val="99"/>
    <w:rsid w:val="00E2045B"/>
    <w:rPr>
      <w:color w:val="auto"/>
    </w:rPr>
  </w:style>
  <w:style w:type="table" w:styleId="TableGrid">
    <w:name w:val="Table Grid"/>
    <w:basedOn w:val="TableNormal"/>
    <w:uiPriority w:val="59"/>
    <w:rsid w:val="002F1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6E1AFE"/>
    <w:pPr>
      <w:bidi w:val="0"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E1AFE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818"/>
    <w:rPr>
      <w:color w:val="0000FF" w:themeColor="hyperlink"/>
      <w:u w:val="single"/>
    </w:rPr>
  </w:style>
  <w:style w:type="table" w:customStyle="1" w:styleId="2">
    <w:name w:val="شبكة جدول2"/>
    <w:basedOn w:val="TableNormal"/>
    <w:next w:val="TableGrid"/>
    <w:uiPriority w:val="59"/>
    <w:rsid w:val="00357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E9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86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TableNormal"/>
    <w:next w:val="TableGrid"/>
    <w:uiPriority w:val="59"/>
    <w:rsid w:val="00616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3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527"/>
  </w:style>
  <w:style w:type="paragraph" w:styleId="Header">
    <w:name w:val="header"/>
    <w:basedOn w:val="Normal"/>
    <w:link w:val="HeaderChar"/>
    <w:uiPriority w:val="99"/>
    <w:unhideWhenUsed/>
    <w:rsid w:val="00A63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527"/>
  </w:style>
  <w:style w:type="table" w:customStyle="1" w:styleId="4">
    <w:name w:val="شبكة جدول4"/>
    <w:basedOn w:val="TableNormal"/>
    <w:next w:val="TableGrid"/>
    <w:uiPriority w:val="59"/>
    <w:rsid w:val="00A6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uiPriority w:val="59"/>
    <w:rsid w:val="00720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DE12D4"/>
  </w:style>
  <w:style w:type="character" w:customStyle="1" w:styleId="A9">
    <w:name w:val="A9"/>
    <w:uiPriority w:val="99"/>
    <w:rsid w:val="00DE12D4"/>
    <w:rPr>
      <w:rFonts w:ascii="Minion Pro" w:hAnsi="Minion Pro" w:cs="Minion Pro"/>
      <w:color w:val="000000"/>
      <w:sz w:val="18"/>
      <w:szCs w:val="18"/>
    </w:rPr>
  </w:style>
  <w:style w:type="character" w:customStyle="1" w:styleId="A0">
    <w:name w:val="A0"/>
    <w:uiPriority w:val="99"/>
    <w:rsid w:val="007528EE"/>
    <w:rPr>
      <w:rFonts w:cs="Albertus Medium"/>
      <w:color w:val="000000"/>
    </w:rPr>
  </w:style>
  <w:style w:type="paragraph" w:customStyle="1" w:styleId="Pa3">
    <w:name w:val="Pa3"/>
    <w:basedOn w:val="Default"/>
    <w:next w:val="Default"/>
    <w:uiPriority w:val="99"/>
    <w:rsid w:val="007528EE"/>
    <w:pPr>
      <w:spacing w:line="241" w:lineRule="atLeast"/>
    </w:pPr>
    <w:rPr>
      <w:rFonts w:ascii="Georgia" w:eastAsia="Calibri" w:hAnsi="Georgia" w:cs="Arial"/>
      <w:color w:val="auto"/>
    </w:rPr>
  </w:style>
  <w:style w:type="table" w:customStyle="1" w:styleId="MediumList11">
    <w:name w:val="Medium List 11"/>
    <w:basedOn w:val="TableNormal"/>
    <w:uiPriority w:val="65"/>
    <w:rsid w:val="00BC45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EndNoteBibliography">
    <w:name w:val="EndNote Bibliography"/>
    <w:basedOn w:val="Normal"/>
    <w:link w:val="EndNoteBibliographyChar"/>
    <w:rsid w:val="00C575EF"/>
    <w:pPr>
      <w:bidi w:val="0"/>
      <w:spacing w:line="240" w:lineRule="auto"/>
    </w:pPr>
    <w:rPr>
      <w:rFonts w:ascii="Calibri" w:hAnsi="Calibri"/>
      <w:noProof/>
      <w:lang w:bidi="ar-IQ"/>
    </w:rPr>
  </w:style>
  <w:style w:type="character" w:customStyle="1" w:styleId="EndNoteBibliographyChar">
    <w:name w:val="EndNote Bibliography Char"/>
    <w:basedOn w:val="DefaultParagraphFont"/>
    <w:link w:val="EndNoteBibliography"/>
    <w:rsid w:val="00C575EF"/>
    <w:rPr>
      <w:rFonts w:ascii="Calibri" w:hAnsi="Calibri"/>
      <w:noProof/>
      <w:lang w:bidi="ar-IQ"/>
    </w:rPr>
  </w:style>
  <w:style w:type="character" w:customStyle="1" w:styleId="A1">
    <w:name w:val="A1"/>
    <w:uiPriority w:val="99"/>
    <w:rsid w:val="00AA27CC"/>
    <w:rPr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AA27CC"/>
    <w:rPr>
      <w:b/>
      <w:bCs/>
      <w:color w:val="000000"/>
      <w:sz w:val="10"/>
      <w:szCs w:val="10"/>
    </w:rPr>
  </w:style>
  <w:style w:type="character" w:customStyle="1" w:styleId="authorsname">
    <w:name w:val="authors__name"/>
    <w:basedOn w:val="DefaultParagraphFont"/>
    <w:rsid w:val="00E947F1"/>
  </w:style>
  <w:style w:type="character" w:customStyle="1" w:styleId="title-text">
    <w:name w:val="title-text"/>
    <w:basedOn w:val="DefaultParagraphFont"/>
    <w:rsid w:val="00E947F1"/>
  </w:style>
  <w:style w:type="character" w:customStyle="1" w:styleId="al-author-name-more">
    <w:name w:val="al-author-name-more"/>
    <w:basedOn w:val="DefaultParagraphFont"/>
    <w:rsid w:val="00E947F1"/>
  </w:style>
  <w:style w:type="character" w:customStyle="1" w:styleId="booktitle">
    <w:name w:val="booktitle"/>
    <w:basedOn w:val="DefaultParagraphFont"/>
    <w:rsid w:val="00E947F1"/>
  </w:style>
  <w:style w:type="character" w:customStyle="1" w:styleId="page-numbers-info">
    <w:name w:val="page-numbers-info"/>
    <w:basedOn w:val="DefaultParagraphFont"/>
    <w:rsid w:val="00E947F1"/>
  </w:style>
  <w:style w:type="character" w:customStyle="1" w:styleId="u-inline-block">
    <w:name w:val="u-inline-block"/>
    <w:basedOn w:val="DefaultParagraphFont"/>
    <w:rsid w:val="00E947F1"/>
  </w:style>
  <w:style w:type="character" w:customStyle="1" w:styleId="text">
    <w:name w:val="text"/>
    <w:basedOn w:val="DefaultParagraphFont"/>
    <w:rsid w:val="00146CE1"/>
  </w:style>
  <w:style w:type="character" w:styleId="LineNumber">
    <w:name w:val="line number"/>
    <w:basedOn w:val="DefaultParagraphFont"/>
    <w:uiPriority w:val="99"/>
    <w:semiHidden/>
    <w:unhideWhenUsed/>
    <w:rsid w:val="006B2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2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75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5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75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B7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75920"/>
    <w:pPr>
      <w:ind w:left="720"/>
      <w:contextualSpacing/>
    </w:pPr>
  </w:style>
  <w:style w:type="paragraph" w:customStyle="1" w:styleId="Default">
    <w:name w:val="Default"/>
    <w:rsid w:val="00441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..(..)"/>
    <w:basedOn w:val="Default"/>
    <w:next w:val="Default"/>
    <w:uiPriority w:val="99"/>
    <w:rsid w:val="00E2045B"/>
    <w:rPr>
      <w:color w:val="auto"/>
    </w:rPr>
  </w:style>
  <w:style w:type="table" w:styleId="a5">
    <w:name w:val="Table Grid"/>
    <w:basedOn w:val="a1"/>
    <w:uiPriority w:val="59"/>
    <w:rsid w:val="002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uiPriority w:val="99"/>
    <w:rsid w:val="006E1AFE"/>
    <w:pPr>
      <w:bidi w:val="0"/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6E1AF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Char"/>
    <w:uiPriority w:val="99"/>
    <w:semiHidden/>
    <w:unhideWhenUsed/>
    <w:rsid w:val="006E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6E1AF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52818"/>
    <w:rPr>
      <w:color w:val="0000FF" w:themeColor="hyperlink"/>
      <w:u w:val="single"/>
    </w:rPr>
  </w:style>
  <w:style w:type="table" w:customStyle="1" w:styleId="21">
    <w:name w:val="شبكة جدول2"/>
    <w:basedOn w:val="a1"/>
    <w:next w:val="a5"/>
    <w:uiPriority w:val="59"/>
    <w:rsid w:val="0035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59"/>
    <w:rsid w:val="00E9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5"/>
    <w:uiPriority w:val="59"/>
    <w:rsid w:val="0068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5"/>
    <w:uiPriority w:val="59"/>
    <w:rsid w:val="0061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A63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3527"/>
  </w:style>
  <w:style w:type="paragraph" w:styleId="a8">
    <w:name w:val="header"/>
    <w:basedOn w:val="a"/>
    <w:link w:val="Char1"/>
    <w:uiPriority w:val="99"/>
    <w:unhideWhenUsed/>
    <w:rsid w:val="00A63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A63527"/>
  </w:style>
  <w:style w:type="table" w:customStyle="1" w:styleId="4">
    <w:name w:val="شبكة جدول4"/>
    <w:basedOn w:val="a1"/>
    <w:next w:val="a5"/>
    <w:uiPriority w:val="59"/>
    <w:rsid w:val="00A6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72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n\Documents\e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2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21.7</c:v>
                </c:pt>
                <c:pt idx="1">
                  <c:v>22.45</c:v>
                </c:pt>
                <c:pt idx="2">
                  <c:v>22.310000000000031</c:v>
                </c:pt>
              </c:numCache>
            </c:numRef>
          </c:val>
        </c:ser>
        <c:dLbls>
          <c:showVal val="1"/>
        </c:dLbls>
        <c:axId val="48713728"/>
        <c:axId val="48715648"/>
      </c:barChart>
      <c:catAx>
        <c:axId val="48713728"/>
        <c:scaling>
          <c:orientation val="minMax"/>
        </c:scaling>
        <c:axPos val="l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ar-IQ"/>
          </a:p>
        </c:txPr>
        <c:crossAx val="48715648"/>
        <c:crosses val="autoZero"/>
        <c:auto val="1"/>
        <c:lblAlgn val="ctr"/>
        <c:lblOffset val="100"/>
      </c:catAx>
      <c:valAx>
        <c:axId val="48715648"/>
        <c:scaling>
          <c:orientation val="minMax"/>
          <c:max val="25"/>
          <c:min val="15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BMI (Kg/m</a:t>
                </a:r>
                <a:r>
                  <a:rPr lang="en-US" sz="1200" b="1" i="0" baseline="3000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2</a:t>
                </a: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en-US" sz="12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48713728"/>
        <c:crosses val="autoZero"/>
        <c:crossBetween val="between"/>
        <c:majorUnit val="1"/>
        <c:minorUnit val="1.0000000000000047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25.1</c:v>
                </c:pt>
                <c:pt idx="1">
                  <c:v>15</c:v>
                </c:pt>
                <c:pt idx="2">
                  <c:v>15.2</c:v>
                </c:pt>
              </c:numCache>
            </c:numRef>
          </c:val>
        </c:ser>
        <c:dLbls>
          <c:showVal val="1"/>
        </c:dLbls>
        <c:axId val="66691456"/>
        <c:axId val="66692992"/>
      </c:barChart>
      <c:catAx>
        <c:axId val="66691456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692992"/>
        <c:crosses val="autoZero"/>
        <c:auto val="1"/>
        <c:lblAlgn val="ctr"/>
        <c:lblOffset val="100"/>
      </c:catAx>
      <c:valAx>
        <c:axId val="66692992"/>
        <c:scaling>
          <c:orientation val="minMax"/>
          <c:max val="30"/>
          <c:min val="1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CAT (U/mL)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691456"/>
        <c:crosses val="autoZero"/>
        <c:crossBetween val="between"/>
        <c:majorUnit val="2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2.5</c:v>
                </c:pt>
                <c:pt idx="1">
                  <c:v>1.5</c:v>
                </c:pt>
                <c:pt idx="2">
                  <c:v>1.3</c:v>
                </c:pt>
              </c:numCache>
            </c:numRef>
          </c:val>
        </c:ser>
        <c:dLbls>
          <c:showVal val="1"/>
        </c:dLbls>
        <c:axId val="66713472"/>
        <c:axId val="66715008"/>
      </c:barChart>
      <c:catAx>
        <c:axId val="66713472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715008"/>
        <c:crosses val="autoZero"/>
        <c:auto val="1"/>
        <c:lblAlgn val="ctr"/>
        <c:lblOffset val="100"/>
      </c:catAx>
      <c:valAx>
        <c:axId val="66715008"/>
        <c:scaling>
          <c:orientation val="minMax"/>
          <c:max val="5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TAC (mmol/L)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713472"/>
        <c:crosses val="autoZero"/>
        <c:crossBetween val="between"/>
        <c:majorUnit val="0.5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72.7</c:v>
                </c:pt>
                <c:pt idx="1">
                  <c:v>53.3</c:v>
                </c:pt>
                <c:pt idx="2">
                  <c:v>54.3</c:v>
                </c:pt>
              </c:numCache>
            </c:numRef>
          </c:val>
        </c:ser>
        <c:dLbls>
          <c:showVal val="1"/>
        </c:dLbls>
        <c:axId val="66755968"/>
        <c:axId val="66774144"/>
      </c:barChart>
      <c:catAx>
        <c:axId val="66755968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774144"/>
        <c:crosses val="autoZero"/>
        <c:auto val="1"/>
        <c:lblAlgn val="ctr"/>
        <c:lblOffset val="100"/>
      </c:catAx>
      <c:valAx>
        <c:axId val="66774144"/>
        <c:scaling>
          <c:orientation val="minMax"/>
          <c:max val="80"/>
          <c:min val="4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GSH (µmol/L)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755968"/>
        <c:crosses val="autoZero"/>
        <c:crossBetween val="between"/>
        <c:majorUnit val="2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89.9</c:v>
                </c:pt>
                <c:pt idx="1">
                  <c:v>70.099999999999994</c:v>
                </c:pt>
                <c:pt idx="2">
                  <c:v>73.900000000000006</c:v>
                </c:pt>
              </c:numCache>
            </c:numRef>
          </c:val>
        </c:ser>
        <c:dLbls>
          <c:showVal val="1"/>
        </c:dLbls>
        <c:axId val="66806912"/>
        <c:axId val="66808448"/>
      </c:barChart>
      <c:catAx>
        <c:axId val="66806912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808448"/>
        <c:crosses val="autoZero"/>
        <c:auto val="1"/>
        <c:lblAlgn val="ctr"/>
        <c:lblOffset val="100"/>
      </c:catAx>
      <c:valAx>
        <c:axId val="66808448"/>
        <c:scaling>
          <c:orientation val="minMax"/>
          <c:max val="95"/>
          <c:min val="65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Se (ng/mL)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806912"/>
        <c:crosses val="autoZero"/>
        <c:crossBetween val="between"/>
        <c:majorUnit val="2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0.10400000000000002</c:v>
                </c:pt>
                <c:pt idx="1">
                  <c:v>0.23</c:v>
                </c:pt>
                <c:pt idx="2">
                  <c:v>0.34</c:v>
                </c:pt>
              </c:numCache>
            </c:numRef>
          </c:val>
        </c:ser>
        <c:dLbls>
          <c:showVal val="1"/>
        </c:dLbls>
        <c:axId val="66816640"/>
        <c:axId val="71782784"/>
      </c:barChart>
      <c:catAx>
        <c:axId val="66816640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71782784"/>
        <c:crosses val="autoZero"/>
        <c:auto val="1"/>
        <c:lblAlgn val="ctr"/>
        <c:lblOffset val="100"/>
      </c:catAx>
      <c:valAx>
        <c:axId val="71782784"/>
        <c:scaling>
          <c:orientation val="minMax"/>
          <c:max val="0.4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Cu (µg/mL)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816640"/>
        <c:crosses val="autoZero"/>
        <c:crossBetween val="between"/>
        <c:majorUnit val="5.0000000000000024E-2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1.04</c:v>
                </c:pt>
                <c:pt idx="1">
                  <c:v>0.71000000000000063</c:v>
                </c:pt>
                <c:pt idx="2">
                  <c:v>0.70000000000000062</c:v>
                </c:pt>
              </c:numCache>
            </c:numRef>
          </c:val>
        </c:ser>
        <c:dLbls>
          <c:showVal val="1"/>
        </c:dLbls>
        <c:axId val="71844224"/>
        <c:axId val="71845760"/>
      </c:barChart>
      <c:catAx>
        <c:axId val="71844224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71845760"/>
        <c:crosses val="autoZero"/>
        <c:auto val="1"/>
        <c:lblAlgn val="ctr"/>
        <c:lblOffset val="100"/>
      </c:catAx>
      <c:valAx>
        <c:axId val="71845760"/>
        <c:scaling>
          <c:orientation val="minMax"/>
          <c:max val="1.1000000000000001"/>
          <c:min val="0.5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Zn (µg/mL)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71844224"/>
        <c:crosses val="autoZero"/>
        <c:crossBetween val="between"/>
        <c:majorUnit val="5.0000000000000024E-2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22.6</c:v>
                </c:pt>
                <c:pt idx="1">
                  <c:v>18.100000000000001</c:v>
                </c:pt>
                <c:pt idx="2">
                  <c:v>18.399999999999999</c:v>
                </c:pt>
              </c:numCache>
            </c:numRef>
          </c:val>
        </c:ser>
        <c:dLbls>
          <c:showVal val="1"/>
        </c:dLbls>
        <c:axId val="71866240"/>
        <c:axId val="71867776"/>
      </c:barChart>
      <c:catAx>
        <c:axId val="71866240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71867776"/>
        <c:crosses val="autoZero"/>
        <c:auto val="1"/>
        <c:lblAlgn val="ctr"/>
        <c:lblOffset val="100"/>
      </c:catAx>
      <c:valAx>
        <c:axId val="71867776"/>
        <c:scaling>
          <c:orientation val="minMax"/>
          <c:max val="23"/>
          <c:min val="1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Mg (µg/mL)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71866240"/>
        <c:crosses val="autoZero"/>
        <c:crossBetween val="between"/>
        <c:majorUnit val="1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5.03</c:v>
                </c:pt>
                <c:pt idx="1">
                  <c:v>5.0199999999999996</c:v>
                </c:pt>
                <c:pt idx="2">
                  <c:v>5.0199999999999996</c:v>
                </c:pt>
              </c:numCache>
            </c:numRef>
          </c:val>
        </c:ser>
        <c:dLbls>
          <c:showVal val="1"/>
        </c:dLbls>
        <c:axId val="64183680"/>
        <c:axId val="64189568"/>
      </c:barChart>
      <c:catAx>
        <c:axId val="64183680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4189568"/>
        <c:crosses val="autoZero"/>
        <c:auto val="1"/>
        <c:lblAlgn val="ctr"/>
        <c:lblOffset val="100"/>
      </c:catAx>
      <c:valAx>
        <c:axId val="64189568"/>
        <c:scaling>
          <c:orientation val="minMax"/>
          <c:max val="10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FSH  (µU/mL)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4183680"/>
        <c:crosses val="autoZero"/>
        <c:crossBetween val="between"/>
        <c:majorUnit val="1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3.4</c:v>
                </c:pt>
                <c:pt idx="1">
                  <c:v>3.2</c:v>
                </c:pt>
                <c:pt idx="2">
                  <c:v>3.4</c:v>
                </c:pt>
              </c:numCache>
            </c:numRef>
          </c:val>
        </c:ser>
        <c:dLbls>
          <c:showVal val="1"/>
        </c:dLbls>
        <c:axId val="64373888"/>
        <c:axId val="66390272"/>
      </c:barChart>
      <c:catAx>
        <c:axId val="64373888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390272"/>
        <c:crosses val="autoZero"/>
        <c:auto val="1"/>
        <c:lblAlgn val="ctr"/>
        <c:lblOffset val="100"/>
      </c:catAx>
      <c:valAx>
        <c:axId val="66390272"/>
        <c:scaling>
          <c:orientation val="minMax"/>
          <c:max val="6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LH  (µU/mL)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4373888"/>
        <c:crosses val="autoZero"/>
        <c:crossBetween val="between"/>
        <c:majorUnit val="1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15</c:v>
                </c:pt>
                <c:pt idx="1">
                  <c:v>14.7</c:v>
                </c:pt>
                <c:pt idx="2">
                  <c:v>14.7</c:v>
                </c:pt>
              </c:numCache>
            </c:numRef>
          </c:val>
        </c:ser>
        <c:dLbls>
          <c:showVal val="1"/>
        </c:dLbls>
        <c:axId val="85816064"/>
        <c:axId val="85914368"/>
      </c:barChart>
      <c:catAx>
        <c:axId val="85816064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85914368"/>
        <c:crosses val="autoZero"/>
        <c:auto val="1"/>
        <c:lblAlgn val="ctr"/>
        <c:lblOffset val="100"/>
      </c:catAx>
      <c:valAx>
        <c:axId val="85914368"/>
        <c:scaling>
          <c:orientation val="minMax"/>
          <c:max val="16"/>
          <c:min val="12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PRL  (ng/mL)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85816064"/>
        <c:crosses val="autoZero"/>
        <c:crossBetween val="between"/>
        <c:majorUnit val="0.5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2.4</c:v>
                </c:pt>
                <c:pt idx="1">
                  <c:v>2.2999999999999998</c:v>
                </c:pt>
                <c:pt idx="2">
                  <c:v>2.2999999999999998</c:v>
                </c:pt>
              </c:numCache>
            </c:numRef>
          </c:val>
        </c:ser>
        <c:dLbls>
          <c:showVal val="1"/>
        </c:dLbls>
        <c:axId val="88228992"/>
        <c:axId val="88230528"/>
      </c:barChart>
      <c:catAx>
        <c:axId val="88228992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88230528"/>
        <c:crosses val="autoZero"/>
        <c:auto val="1"/>
        <c:lblAlgn val="ctr"/>
        <c:lblOffset val="100"/>
      </c:catAx>
      <c:valAx>
        <c:axId val="88230528"/>
        <c:scaling>
          <c:orientation val="minMax"/>
          <c:max val="3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TSH  (µU/mL)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88228992"/>
        <c:crosses val="autoZero"/>
        <c:crossBetween val="between"/>
        <c:majorUnit val="0.5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27.16</c:v>
                </c:pt>
                <c:pt idx="1">
                  <c:v>28.71</c:v>
                </c:pt>
                <c:pt idx="2">
                  <c:v>28.1</c:v>
                </c:pt>
              </c:numCache>
            </c:numRef>
          </c:val>
        </c:ser>
        <c:dLbls>
          <c:showVal val="1"/>
        </c:dLbls>
        <c:axId val="66484096"/>
        <c:axId val="66485632"/>
      </c:barChart>
      <c:catAx>
        <c:axId val="66484096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485632"/>
        <c:crosses val="autoZero"/>
        <c:auto val="1"/>
        <c:lblAlgn val="ctr"/>
        <c:lblOffset val="100"/>
      </c:catAx>
      <c:valAx>
        <c:axId val="66485632"/>
        <c:scaling>
          <c:orientation val="minMax"/>
          <c:max val="30"/>
          <c:min val="1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Leptin (ng/mL)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484096"/>
        <c:crosses val="autoZero"/>
        <c:crossBetween val="between"/>
        <c:majorUnit val="1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3.4</c:v>
                </c:pt>
                <c:pt idx="1">
                  <c:v>7.7</c:v>
                </c:pt>
                <c:pt idx="2">
                  <c:v>8.2000000000000011</c:v>
                </c:pt>
              </c:numCache>
            </c:numRef>
          </c:val>
        </c:ser>
        <c:dLbls>
          <c:showVal val="1"/>
        </c:dLbls>
        <c:axId val="66514304"/>
        <c:axId val="66516096"/>
      </c:barChart>
      <c:catAx>
        <c:axId val="66514304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516096"/>
        <c:crosses val="autoZero"/>
        <c:auto val="1"/>
        <c:lblAlgn val="ctr"/>
        <c:lblOffset val="100"/>
      </c:catAx>
      <c:valAx>
        <c:axId val="66516096"/>
        <c:scaling>
          <c:orientation val="minMax"/>
          <c:max val="10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LOOH  (nmol/mL)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514304"/>
        <c:crosses val="autoZero"/>
        <c:crossBetween val="between"/>
        <c:majorUnit val="1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8.4</c:v>
                </c:pt>
                <c:pt idx="1">
                  <c:v>12.1</c:v>
                </c:pt>
                <c:pt idx="2">
                  <c:v>12.3</c:v>
                </c:pt>
              </c:numCache>
            </c:numRef>
          </c:val>
        </c:ser>
        <c:dLbls>
          <c:showVal val="1"/>
        </c:dLbls>
        <c:axId val="66544768"/>
        <c:axId val="66546304"/>
      </c:barChart>
      <c:catAx>
        <c:axId val="66544768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546304"/>
        <c:crosses val="autoZero"/>
        <c:auto val="1"/>
        <c:lblAlgn val="ctr"/>
        <c:lblOffset val="100"/>
      </c:catAx>
      <c:valAx>
        <c:axId val="66546304"/>
        <c:scaling>
          <c:orientation val="minMax"/>
          <c:max val="15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4-HNE  (ng/mL)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544768"/>
        <c:crosses val="autoZero"/>
        <c:crossBetween val="between"/>
        <c:majorUnit val="1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IQ"/>
  <c:chart>
    <c:plotArea>
      <c:layout>
        <c:manualLayout>
          <c:layoutTarget val="inner"/>
          <c:xMode val="edge"/>
          <c:yMode val="edge"/>
          <c:x val="0.13705279786735144"/>
          <c:y val="1.592438256417341E-2"/>
          <c:w val="0.81313191650417227"/>
          <c:h val="0.8286107074983546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0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chemeClr val="accent3"/>
              </a:solidFill>
            </c:spPr>
          </c:dPt>
          <c:dLbls>
            <c:delete val="1"/>
          </c:dLbls>
          <c:cat>
            <c:strRef>
              <c:f>Sheet6!$B$1:$D$1</c:f>
              <c:strCache>
                <c:ptCount val="3"/>
                <c:pt idx="0">
                  <c:v>Contral</c:v>
                </c:pt>
                <c:pt idx="1">
                  <c:v>1⁰ UI</c:v>
                </c:pt>
                <c:pt idx="2">
                  <c:v>2⁰ UI</c:v>
                </c:pt>
              </c:strCache>
            </c:strRef>
          </c:cat>
          <c:val>
            <c:numRef>
              <c:f>Sheet6!$B$3:$D$3</c:f>
              <c:numCache>
                <c:formatCode>General</c:formatCode>
                <c:ptCount val="3"/>
                <c:pt idx="0">
                  <c:v>17.600000000000001</c:v>
                </c:pt>
                <c:pt idx="1">
                  <c:v>10.1</c:v>
                </c:pt>
                <c:pt idx="2">
                  <c:v>12.4</c:v>
                </c:pt>
              </c:numCache>
            </c:numRef>
          </c:val>
        </c:ser>
        <c:dLbls>
          <c:showVal val="1"/>
        </c:dLbls>
        <c:axId val="66574976"/>
        <c:axId val="66654592"/>
      </c:barChart>
      <c:catAx>
        <c:axId val="66574976"/>
        <c:scaling>
          <c:orientation val="minMax"/>
        </c:scaling>
        <c:axPos val="l"/>
        <c:tickLblPos val="nextTo"/>
        <c:txPr>
          <a:bodyPr/>
          <a:lstStyle/>
          <a:p>
            <a:pPr>
              <a:defRPr sz="1100" b="1"/>
            </a:pPr>
            <a:endParaRPr lang="ar-IQ"/>
          </a:p>
        </c:txPr>
        <c:crossAx val="66654592"/>
        <c:crosses val="autoZero"/>
        <c:auto val="1"/>
        <c:lblAlgn val="ctr"/>
        <c:lblOffset val="100"/>
      </c:catAx>
      <c:valAx>
        <c:axId val="66654592"/>
        <c:scaling>
          <c:orientation val="minMax"/>
          <c:max val="20"/>
          <c:min val="0"/>
        </c:scaling>
        <c:axPos val="b"/>
        <c:majorGridlines>
          <c:spPr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 SOD (U/mL)</a:t>
                </a:r>
                <a:endParaRPr lang="en-US" sz="10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</c:title>
        <c:numFmt formatCode="General" sourceLinked="1"/>
        <c:minorTickMark val="in"/>
        <c:tickLblPos val="low"/>
        <c:txPr>
          <a:bodyPr/>
          <a:lstStyle/>
          <a:p>
            <a:pPr>
              <a:defRPr sz="1100"/>
            </a:pPr>
            <a:endParaRPr lang="ar-IQ"/>
          </a:p>
        </c:txPr>
        <c:crossAx val="66574976"/>
        <c:crosses val="autoZero"/>
        <c:crossBetween val="between"/>
        <c:majorUnit val="2"/>
        <c:minorUnit val="1.0000000000000005E-2"/>
      </c:valAx>
      <c:spPr>
        <a:solidFill>
          <a:schemeClr val="bg1">
            <a:lumMod val="85000"/>
          </a:schemeClr>
        </a:solidFill>
      </c:spPr>
    </c:plotArea>
    <c:plotVisOnly val="1"/>
    <c:dispBlanksAs val="gap"/>
  </c:chart>
  <c:spPr>
    <a:solidFill>
      <a:schemeClr val="accent2">
        <a:lumMod val="40000"/>
        <a:lumOff val="60000"/>
      </a:schemeClr>
    </a:solidFill>
  </c:spPr>
  <c:externalData r:id="rId1"/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8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SAMSUNG</cp:lastModifiedBy>
  <cp:revision>1984</cp:revision>
  <dcterms:created xsi:type="dcterms:W3CDTF">2017-07-31T18:56:00Z</dcterms:created>
  <dcterms:modified xsi:type="dcterms:W3CDTF">2019-07-15T09:39:00Z</dcterms:modified>
</cp:coreProperties>
</file>