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F9A" w:rsidRDefault="00C24F9A" w:rsidP="00C24F9A">
      <w:pPr>
        <w:pStyle w:val="NormalWeb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Supplementary Files </w:t>
      </w:r>
      <w:r w:rsidRPr="008F4984">
        <w:rPr>
          <w:rFonts w:ascii="Times New Roman" w:hAnsi="Times New Roman"/>
          <w:sz w:val="24"/>
          <w:szCs w:val="24"/>
        </w:rPr>
        <w:fldChar w:fldCharType="begin"/>
      </w:r>
      <w:r w:rsidRPr="008F4984">
        <w:rPr>
          <w:rFonts w:ascii="Times New Roman" w:hAnsi="Times New Roman"/>
          <w:sz w:val="24"/>
          <w:szCs w:val="24"/>
        </w:rPr>
        <w:instrText xml:space="preserve"> ADDIN ZOTERO_BIBL {"custom":[]} CSL_BIBLIOGRAPHY </w:instrText>
      </w:r>
      <w:r w:rsidRPr="008F4984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igures/ Tables</w:t>
      </w:r>
    </w:p>
    <w:p w:rsidR="00C24F9A" w:rsidRPr="008E3D54" w:rsidRDefault="00C24F9A" w:rsidP="00C24F9A">
      <w:r>
        <w:t>1a</w:t>
      </w:r>
    </w:p>
    <w:p w:rsidR="00C24F9A" w:rsidRDefault="00C24F9A" w:rsidP="00C24F9A">
      <w:pPr>
        <w:rPr>
          <w:noProof/>
          <w:color w:val="000000"/>
        </w:rPr>
      </w:pPr>
      <w:r>
        <w:rPr>
          <w:i/>
          <w:noProof/>
          <w:color w:val="000000"/>
        </w:rPr>
        <w:drawing>
          <wp:inline distT="0" distB="0" distL="0" distR="0" wp14:anchorId="2D728D86" wp14:editId="1EAC1204">
            <wp:extent cx="5697220" cy="400939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9A" w:rsidRDefault="00C24F9A" w:rsidP="00C24F9A">
      <w:pPr>
        <w:rPr>
          <w:noProof/>
          <w:color w:val="000000"/>
        </w:rPr>
      </w:pPr>
    </w:p>
    <w:p w:rsidR="00C24F9A" w:rsidRDefault="00C24F9A" w:rsidP="00C24F9A">
      <w:pPr>
        <w:rPr>
          <w:color w:val="000000"/>
        </w:rPr>
      </w:pPr>
      <w:r>
        <w:rPr>
          <w:noProof/>
          <w:color w:val="000000"/>
        </w:rPr>
        <w:t>1b.</w:t>
      </w:r>
    </w:p>
    <w:p w:rsidR="00C24F9A" w:rsidRDefault="00C24F9A" w:rsidP="00C24F9A">
      <w:pPr>
        <w:rPr>
          <w:color w:val="000000"/>
        </w:rPr>
      </w:pPr>
      <w:r>
        <w:rPr>
          <w:i/>
          <w:noProof/>
          <w:color w:val="000000"/>
        </w:rPr>
        <w:drawing>
          <wp:inline distT="0" distB="0" distL="0" distR="0" wp14:anchorId="4A3BF01B" wp14:editId="78770EAD">
            <wp:extent cx="5767705" cy="386842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9A" w:rsidRDefault="00C24F9A" w:rsidP="00C24F9A">
      <w:pPr>
        <w:rPr>
          <w:color w:val="000000"/>
        </w:rPr>
      </w:pPr>
      <w:r>
        <w:rPr>
          <w:color w:val="000000"/>
        </w:rPr>
        <w:br w:type="page"/>
      </w:r>
      <w:r>
        <w:rPr>
          <w:color w:val="000000"/>
        </w:rPr>
        <w:lastRenderedPageBreak/>
        <w:t>1c.</w:t>
      </w:r>
    </w:p>
    <w:p w:rsidR="00C24F9A" w:rsidRDefault="00C24F9A" w:rsidP="00C24F9A">
      <w:pPr>
        <w:jc w:val="both"/>
        <w:rPr>
          <w:i/>
          <w:noProof/>
          <w:color w:val="000000"/>
          <w:sz w:val="20"/>
          <w:szCs w:val="20"/>
        </w:rPr>
      </w:pPr>
      <w:r>
        <w:rPr>
          <w:i/>
          <w:noProof/>
          <w:color w:val="000000"/>
          <w:sz w:val="20"/>
          <w:szCs w:val="20"/>
        </w:rPr>
        <w:drawing>
          <wp:inline distT="0" distB="0" distL="0" distR="0" wp14:anchorId="0A7AFF02" wp14:editId="2B95A274">
            <wp:extent cx="5767705" cy="4079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9A" w:rsidRPr="009D13A8" w:rsidRDefault="00C24F9A" w:rsidP="00C24F9A">
      <w:pPr>
        <w:jc w:val="both"/>
        <w:rPr>
          <w:rFonts w:ascii="Times New Roman" w:hAnsi="Times New Roman"/>
        </w:rPr>
      </w:pPr>
      <w:r w:rsidRPr="00751BFB">
        <w:rPr>
          <w:rFonts w:ascii="Times New Roman" w:hAnsi="Times New Roman"/>
          <w:b/>
          <w:sz w:val="20"/>
          <w:szCs w:val="20"/>
        </w:rPr>
        <w:t>Figure 1.</w:t>
      </w:r>
      <w:r w:rsidRPr="009D13A8">
        <w:rPr>
          <w:rFonts w:ascii="Times New Roman" w:hAnsi="Times New Roman"/>
          <w:sz w:val="20"/>
          <w:szCs w:val="20"/>
        </w:rPr>
        <w:t xml:space="preserve"> (a) Unstimulated  (Nil) IP-10 levels, (b) antigen-stimulated (Ag-Nil) IP-10 levels, and (c) mitogen-stimulated (Mit-Nil) IP-10 levels among children with TB exposed only, latent TB, active TB, and Non TB. Horizontal lines indicate median values. IP-10= IFN</w:t>
      </w:r>
      <w:r w:rsidRPr="009D13A8">
        <w:rPr>
          <w:rFonts w:ascii="Times New Roman" w:hAnsi="Times New Roman"/>
          <w:sz w:val="20"/>
          <w:szCs w:val="20"/>
        </w:rPr>
        <w:sym w:font="Symbol" w:char="F067"/>
      </w:r>
      <w:r w:rsidRPr="009D13A8">
        <w:rPr>
          <w:rFonts w:ascii="Times New Roman" w:hAnsi="Times New Roman"/>
          <w:sz w:val="20"/>
          <w:szCs w:val="20"/>
        </w:rPr>
        <w:t xml:space="preserve"> inducible protein 10, TB= tuberculosis, ns= not significant, *p&lt;0.05.</w:t>
      </w:r>
    </w:p>
    <w:p w:rsidR="00C24F9A" w:rsidRDefault="00C24F9A" w:rsidP="00C24F9A">
      <w:pPr>
        <w:rPr>
          <w:color w:val="000000"/>
        </w:rPr>
      </w:pPr>
    </w:p>
    <w:p w:rsidR="00C24F9A" w:rsidRDefault="00C24F9A" w:rsidP="00C24F9A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8614DC" wp14:editId="00DAF1CD">
            <wp:simplePos x="0" y="0"/>
            <wp:positionH relativeFrom="margin">
              <wp:posOffset>391795</wp:posOffset>
            </wp:positionH>
            <wp:positionV relativeFrom="margin">
              <wp:posOffset>5172710</wp:posOffset>
            </wp:positionV>
            <wp:extent cx="4702175" cy="3937000"/>
            <wp:effectExtent l="0" t="0" r="0" b="0"/>
            <wp:wrapSquare wrapText="bothSides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>2a.</w:t>
      </w:r>
      <w:r>
        <w:rPr>
          <w:color w:val="000000"/>
        </w:rPr>
        <w:br w:type="page"/>
      </w:r>
    </w:p>
    <w:p w:rsidR="00C24F9A" w:rsidRDefault="00C24F9A" w:rsidP="00C24F9A">
      <w:pPr>
        <w:rPr>
          <w:color w:val="000000"/>
        </w:rPr>
      </w:pPr>
      <w:r>
        <w:rPr>
          <w:color w:val="000000"/>
        </w:rPr>
        <w:t>2b.</w:t>
      </w:r>
    </w:p>
    <w:p w:rsidR="00C24F9A" w:rsidRDefault="00C24F9A" w:rsidP="00C24F9A">
      <w:pPr>
        <w:rPr>
          <w:color w:val="000000"/>
        </w:rPr>
      </w:pPr>
      <w:r>
        <w:rPr>
          <w:noProof/>
          <w:shd w:val="clear" w:color="auto" w:fill="FFFFFF"/>
        </w:rPr>
        <w:drawing>
          <wp:inline distT="0" distB="0" distL="0" distR="0" wp14:anchorId="6A7AE996" wp14:editId="08600E77">
            <wp:extent cx="4712970" cy="3938905"/>
            <wp:effectExtent l="0" t="0" r="1143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7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9A" w:rsidRDefault="00C24F9A" w:rsidP="00C24F9A">
      <w:pPr>
        <w:rPr>
          <w:color w:val="000000"/>
        </w:rPr>
      </w:pPr>
      <w:r>
        <w:rPr>
          <w:color w:val="000000"/>
        </w:rPr>
        <w:t>2c.</w:t>
      </w:r>
    </w:p>
    <w:p w:rsidR="00C24F9A" w:rsidRDefault="00C24F9A" w:rsidP="00C24F9A">
      <w:pPr>
        <w:rPr>
          <w:color w:val="000000"/>
        </w:rPr>
      </w:pP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6817AA8B" wp14:editId="6EF682FD">
            <wp:extent cx="4642485" cy="4009390"/>
            <wp:effectExtent l="0" t="0" r="5715" b="381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9A" w:rsidRPr="009D13A8" w:rsidRDefault="00C24F9A" w:rsidP="00C24F9A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751BFB">
        <w:rPr>
          <w:rFonts w:ascii="Times New Roman" w:hAnsi="Times New Roman"/>
          <w:b/>
          <w:sz w:val="20"/>
          <w:szCs w:val="20"/>
        </w:rPr>
        <w:t>Figure 2.</w:t>
      </w:r>
      <w:r w:rsidRPr="009D13A8">
        <w:rPr>
          <w:rFonts w:ascii="Times New Roman" w:hAnsi="Times New Roman"/>
          <w:sz w:val="20"/>
          <w:szCs w:val="20"/>
        </w:rPr>
        <w:t xml:space="preserve"> (a) Area under the curve of Unstimulated (Nil) IP-10, (b)</w:t>
      </w:r>
      <w:r>
        <w:rPr>
          <w:rFonts w:ascii="Times New Roman" w:hAnsi="Times New Roman"/>
          <w:sz w:val="20"/>
          <w:szCs w:val="20"/>
        </w:rPr>
        <w:t xml:space="preserve"> </w:t>
      </w:r>
      <w:r w:rsidRPr="009D13A8">
        <w:rPr>
          <w:rFonts w:ascii="Times New Roman" w:hAnsi="Times New Roman"/>
          <w:sz w:val="20"/>
          <w:szCs w:val="20"/>
        </w:rPr>
        <w:t>Antigen-stimulated (Ag-Nil) IP-10, and (c) Mitogen-stimulated (Mit-Nil) IP-10 for diagnosis of TB infection in children. IP-10= IFN</w:t>
      </w:r>
      <w:r w:rsidRPr="009D13A8">
        <w:rPr>
          <w:rFonts w:ascii="Times New Roman" w:hAnsi="Times New Roman"/>
          <w:sz w:val="20"/>
          <w:szCs w:val="20"/>
        </w:rPr>
        <w:sym w:font="Symbol" w:char="F067"/>
      </w:r>
      <w:r w:rsidRPr="009D13A8">
        <w:rPr>
          <w:rFonts w:ascii="Times New Roman" w:hAnsi="Times New Roman"/>
          <w:sz w:val="20"/>
          <w:szCs w:val="20"/>
        </w:rPr>
        <w:t xml:space="preserve"> inducible protein 10, TB= Tuberculosis, AUC= Area under the curve, CI=confidence interval.</w:t>
      </w:r>
    </w:p>
    <w:p w:rsidR="00C24F9A" w:rsidRPr="009D13A8" w:rsidRDefault="00C24F9A" w:rsidP="00C24F9A"/>
    <w:p w:rsidR="00C24F9A" w:rsidRDefault="00C24F9A" w:rsidP="00C24F9A">
      <w:pPr>
        <w:pStyle w:val="Heading1"/>
        <w:spacing w:line="480" w:lineRule="auto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020C24B7" wp14:editId="26E93D40">
            <wp:extent cx="5697220" cy="4220210"/>
            <wp:effectExtent l="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42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9A" w:rsidRPr="009D13A8" w:rsidRDefault="00C24F9A" w:rsidP="00C24F9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751BFB">
        <w:rPr>
          <w:rFonts w:ascii="Times New Roman" w:hAnsi="Times New Roman"/>
          <w:b/>
          <w:sz w:val="20"/>
          <w:szCs w:val="20"/>
        </w:rPr>
        <w:t>Figure 3.</w:t>
      </w:r>
      <w:r w:rsidRPr="009D13A8">
        <w:rPr>
          <w:rFonts w:ascii="Times New Roman" w:hAnsi="Times New Roman"/>
          <w:color w:val="000000"/>
          <w:sz w:val="20"/>
          <w:szCs w:val="20"/>
        </w:rPr>
        <w:t xml:space="preserve"> The comparison between median level of antigen-stimulated  IP-10 and IFNγ </w:t>
      </w:r>
      <w:r w:rsidRPr="009D13A8">
        <w:rPr>
          <w:rFonts w:ascii="Times New Roman" w:hAnsi="Times New Roman"/>
          <w:sz w:val="20"/>
          <w:szCs w:val="20"/>
        </w:rPr>
        <w:t>among children with TB exposed only, latent TB, active TB, and Non TB. IP-10= IFN</w:t>
      </w:r>
      <w:r w:rsidRPr="009D13A8">
        <w:rPr>
          <w:rFonts w:ascii="Times New Roman" w:hAnsi="Times New Roman"/>
          <w:sz w:val="20"/>
          <w:szCs w:val="20"/>
        </w:rPr>
        <w:sym w:font="Symbol" w:char="F067"/>
      </w:r>
      <w:r w:rsidRPr="009D13A8">
        <w:rPr>
          <w:rFonts w:ascii="Times New Roman" w:hAnsi="Times New Roman"/>
          <w:sz w:val="20"/>
          <w:szCs w:val="20"/>
        </w:rPr>
        <w:t xml:space="preserve"> inducible protein 10, TB= Tuberculosis</w:t>
      </w:r>
    </w:p>
    <w:p w:rsidR="00C24F9A" w:rsidRPr="009D13A8" w:rsidRDefault="00C24F9A" w:rsidP="00C24F9A"/>
    <w:p w:rsidR="00C24F9A" w:rsidRDefault="00C24F9A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br w:type="page"/>
      </w:r>
    </w:p>
    <w:p w:rsidR="00C24F9A" w:rsidRPr="007B0A4B" w:rsidRDefault="00C24F9A" w:rsidP="00C24F9A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  <w:r w:rsidRPr="00751BFB">
        <w:rPr>
          <w:rFonts w:ascii="Times New Roman" w:hAnsi="Times New Roman"/>
          <w:b/>
          <w:color w:val="000000"/>
          <w:sz w:val="20"/>
          <w:szCs w:val="20"/>
        </w:rPr>
        <w:t>Table 1.</w:t>
      </w:r>
      <w:r w:rsidRPr="007B0A4B">
        <w:rPr>
          <w:rFonts w:ascii="Times New Roman" w:hAnsi="Times New Roman"/>
          <w:color w:val="000000"/>
          <w:sz w:val="20"/>
          <w:szCs w:val="20"/>
        </w:rPr>
        <w:t xml:space="preserve"> Characteristics of the children</w:t>
      </w:r>
    </w:p>
    <w:tbl>
      <w:tblPr>
        <w:tblpPr w:leftFromText="180" w:rightFromText="180" w:vertAnchor="text" w:horzAnchor="page" w:tblpXSpec="center" w:tblpY="170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559"/>
      </w:tblGrid>
      <w:tr w:rsidR="00C24F9A" w:rsidRPr="007B0A4B" w:rsidTr="00F37239">
        <w:trPr>
          <w:trHeight w:val="26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Characteristics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N = 79 (%)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Sex, male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42 (53.2)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Age, y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&lt; 0-4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33 (41.8)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B3"/>
            </w: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46 (58.2)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Close contact to adult TB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68 (86.1)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asymptomatic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58 (85.3)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symptomatic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10 (14.7)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Nutritional status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Well-nourished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61 (77.2)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Moderate wasting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18 (22.8)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ind w:left="567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Severe wasting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24F9A" w:rsidRPr="007B0A4B" w:rsidTr="00F37239">
        <w:trPr>
          <w:trHeight w:val="281"/>
        </w:trPr>
        <w:tc>
          <w:tcPr>
            <w:tcW w:w="3227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BCG vaccination</w:t>
            </w:r>
          </w:p>
        </w:tc>
        <w:tc>
          <w:tcPr>
            <w:tcW w:w="1559" w:type="dxa"/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79 (100)</w:t>
            </w:r>
          </w:p>
        </w:tc>
      </w:tr>
      <w:tr w:rsidR="00C24F9A" w:rsidRPr="007B0A4B" w:rsidTr="00F37239">
        <w:trPr>
          <w:trHeight w:val="299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BCG scar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24F9A" w:rsidRPr="007B0A4B" w:rsidRDefault="00C24F9A" w:rsidP="00F3723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A4B">
              <w:rPr>
                <w:rFonts w:ascii="Times New Roman" w:hAnsi="Times New Roman"/>
                <w:color w:val="000000"/>
                <w:sz w:val="20"/>
                <w:szCs w:val="20"/>
              </w:rPr>
              <w:t>64 (81)</w:t>
            </w:r>
          </w:p>
        </w:tc>
      </w:tr>
    </w:tbl>
    <w:p w:rsidR="00C24F9A" w:rsidRPr="007B0A4B" w:rsidRDefault="00C24F9A" w:rsidP="00C24F9A">
      <w:pPr>
        <w:pStyle w:val="NormalWeb"/>
        <w:jc w:val="center"/>
        <w:rPr>
          <w:rFonts w:ascii="Times New Roman" w:hAnsi="Times New Roman"/>
        </w:rPr>
      </w:pPr>
      <w:r w:rsidRPr="007B0A4B">
        <w:rPr>
          <w:rFonts w:ascii="Times New Roman" w:hAnsi="Times New Roman"/>
        </w:rPr>
        <w:br w:type="textWrapping" w:clear="all"/>
        <w:t>TB= Tuberculosis, BCG= Bacillus Calmette Guerin</w:t>
      </w:r>
    </w:p>
    <w:p w:rsidR="00C24F9A" w:rsidRDefault="00C24F9A" w:rsidP="00C24F9A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C24F9A" w:rsidRDefault="00C24F9A" w:rsidP="00C24F9A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C24F9A" w:rsidRDefault="00C24F9A" w:rsidP="00C24F9A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C24F9A" w:rsidRPr="009D13A8" w:rsidRDefault="00C24F9A" w:rsidP="00C24F9A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Table 2.</w:t>
      </w:r>
      <w:r w:rsidRPr="009D13A8">
        <w:rPr>
          <w:rFonts w:ascii="Times New Roman" w:hAnsi="Times New Roman"/>
          <w:color w:val="000000"/>
          <w:sz w:val="20"/>
          <w:szCs w:val="20"/>
        </w:rPr>
        <w:t xml:space="preserve"> The IP-10 levels (pg/mL) in response to unstimulated, TB antigens, or mitogen</w:t>
      </w:r>
    </w:p>
    <w:p w:rsidR="00C24F9A" w:rsidRPr="009D13A8" w:rsidRDefault="00C24F9A" w:rsidP="00C24F9A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0"/>
          <w:szCs w:val="20"/>
        </w:rPr>
      </w:pPr>
    </w:p>
    <w:tbl>
      <w:tblPr>
        <w:tblW w:w="8571" w:type="dxa"/>
        <w:jc w:val="center"/>
        <w:tblInd w:w="-52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1341"/>
        <w:gridCol w:w="1341"/>
        <w:gridCol w:w="1341"/>
        <w:gridCol w:w="1341"/>
        <w:gridCol w:w="1342"/>
      </w:tblGrid>
      <w:tr w:rsidR="00C24F9A" w:rsidRPr="009D13A8" w:rsidTr="00F37239">
        <w:trPr>
          <w:trHeight w:val="541"/>
          <w:jc w:val="center"/>
        </w:trPr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TB exposed only  (n=37)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LTBI </w:t>
            </w:r>
          </w:p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(n=16) 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TB disease </w:t>
            </w:r>
          </w:p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(n=10) 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Non-TB </w:t>
            </w:r>
          </w:p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(n=7) 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value*</w:t>
            </w:r>
          </w:p>
        </w:tc>
      </w:tr>
      <w:tr w:rsidR="00C24F9A" w:rsidRPr="009D13A8" w:rsidTr="00F37239">
        <w:trPr>
          <w:trHeight w:val="541"/>
          <w:jc w:val="center"/>
        </w:trPr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IP-10 Nil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259.74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321.97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371.10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516.46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0.338</w:t>
            </w:r>
          </w:p>
        </w:tc>
      </w:tr>
      <w:tr w:rsidR="00C24F9A" w:rsidRPr="009D13A8" w:rsidTr="00F37239">
        <w:trPr>
          <w:trHeight w:val="541"/>
          <w:jc w:val="center"/>
        </w:trPr>
        <w:tc>
          <w:tcPr>
            <w:tcW w:w="1865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IP-10 Ag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438.92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3705.87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4815.78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576.38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A3"/>
            </w: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C24F9A" w:rsidRPr="009D13A8" w:rsidTr="00F37239">
        <w:trPr>
          <w:trHeight w:val="541"/>
          <w:jc w:val="center"/>
        </w:trPr>
        <w:tc>
          <w:tcPr>
            <w:tcW w:w="1865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IP-10 Mit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1938.96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2571.65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2308.76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2858.08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0.784</w:t>
            </w:r>
          </w:p>
        </w:tc>
      </w:tr>
      <w:tr w:rsidR="00C24F9A" w:rsidRPr="009D13A8" w:rsidTr="00F37239">
        <w:trPr>
          <w:trHeight w:val="541"/>
          <w:jc w:val="center"/>
        </w:trPr>
        <w:tc>
          <w:tcPr>
            <w:tcW w:w="1865" w:type="dxa"/>
            <w:tcBorders>
              <w:bottom w:val="nil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9D13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IP-10 Ag-Nil</w:t>
            </w:r>
          </w:p>
        </w:tc>
        <w:tc>
          <w:tcPr>
            <w:tcW w:w="1341" w:type="dxa"/>
            <w:tcBorders>
              <w:bottom w:val="nil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73.62</w:t>
            </w:r>
          </w:p>
        </w:tc>
        <w:tc>
          <w:tcPr>
            <w:tcW w:w="1341" w:type="dxa"/>
            <w:tcBorders>
              <w:bottom w:val="nil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3304.30</w:t>
            </w:r>
          </w:p>
        </w:tc>
        <w:tc>
          <w:tcPr>
            <w:tcW w:w="1341" w:type="dxa"/>
            <w:tcBorders>
              <w:bottom w:val="nil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4364.44</w:t>
            </w:r>
          </w:p>
        </w:tc>
        <w:tc>
          <w:tcPr>
            <w:tcW w:w="1341" w:type="dxa"/>
            <w:tcBorders>
              <w:bottom w:val="nil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59.92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sym w:font="Symbol" w:char="F0A3"/>
            </w: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C24F9A" w:rsidRPr="009D13A8" w:rsidTr="00F37239">
        <w:trPr>
          <w:trHeight w:val="541"/>
          <w:jc w:val="center"/>
        </w:trPr>
        <w:tc>
          <w:tcPr>
            <w:tcW w:w="18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9D13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IP-10 Mit-Nil</w:t>
            </w:r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1554.06</w:t>
            </w:r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2227.81</w:t>
            </w:r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2048.05</w:t>
            </w:r>
          </w:p>
        </w:tc>
        <w:tc>
          <w:tcPr>
            <w:tcW w:w="13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2204.48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4F9A" w:rsidRPr="009D13A8" w:rsidRDefault="00C24F9A" w:rsidP="00F3723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13A8">
              <w:rPr>
                <w:rFonts w:ascii="Times New Roman" w:hAnsi="Times New Roman"/>
                <w:color w:val="000000"/>
                <w:sz w:val="20"/>
                <w:szCs w:val="20"/>
              </w:rPr>
              <w:t>0.816</w:t>
            </w:r>
          </w:p>
        </w:tc>
      </w:tr>
    </w:tbl>
    <w:p w:rsidR="00C24F9A" w:rsidRPr="009D13A8" w:rsidRDefault="00C24F9A" w:rsidP="00C24F9A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0"/>
          <w:szCs w:val="20"/>
        </w:rPr>
      </w:pPr>
      <w:r w:rsidRPr="009D13A8">
        <w:rPr>
          <w:rFonts w:ascii="Times New Roman" w:hAnsi="Times New Roman"/>
          <w:sz w:val="20"/>
          <w:szCs w:val="20"/>
        </w:rPr>
        <w:t xml:space="preserve">* </w:t>
      </w:r>
      <w:r w:rsidRPr="009D13A8">
        <w:rPr>
          <w:rFonts w:ascii="Times New Roman" w:hAnsi="Times New Roman"/>
          <w:color w:val="000000"/>
          <w:sz w:val="20"/>
          <w:szCs w:val="20"/>
        </w:rPr>
        <w:t>Kruskal-wallis. TB= Tuberculosis, LTBI= latent TB infection, Nil= unstimulated, Ag= antigen, Mit= mitogen</w:t>
      </w:r>
    </w:p>
    <w:p w:rsidR="00C24F9A" w:rsidRPr="007B0A4B" w:rsidRDefault="00C24F9A" w:rsidP="00C24F9A"/>
    <w:p w:rsidR="00C24F9A" w:rsidRPr="008F4984" w:rsidRDefault="00C24F9A" w:rsidP="00C24F9A">
      <w:pPr>
        <w:spacing w:line="480" w:lineRule="auto"/>
        <w:rPr>
          <w:rFonts w:ascii="Times New Roman" w:hAnsi="Times New Roman"/>
          <w:color w:val="000000"/>
        </w:rPr>
      </w:pPr>
    </w:p>
    <w:p w:rsidR="00C24F9A" w:rsidRPr="008F4984" w:rsidRDefault="00C24F9A" w:rsidP="00C24F9A">
      <w:pPr>
        <w:spacing w:line="480" w:lineRule="auto"/>
        <w:rPr>
          <w:rFonts w:ascii="Times New Roman" w:hAnsi="Times New Roman"/>
          <w:color w:val="000000"/>
        </w:rPr>
      </w:pPr>
      <w:r w:rsidRPr="008F4984">
        <w:rPr>
          <w:rFonts w:ascii="Times New Roman" w:hAnsi="Times New Roman"/>
          <w:color w:val="000000"/>
        </w:rPr>
        <w:br w:type="page"/>
      </w:r>
    </w:p>
    <w:p w:rsidR="00C24F9A" w:rsidRPr="008F4984" w:rsidRDefault="00C24F9A" w:rsidP="00C24F9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</w:rPr>
      </w:pPr>
      <w:r w:rsidRPr="008F4984">
        <w:rPr>
          <w:rFonts w:ascii="Times New Roman" w:hAnsi="Times New Roman"/>
        </w:rPr>
        <w:fldChar w:fldCharType="end"/>
      </w:r>
    </w:p>
    <w:p w:rsidR="005678FE" w:rsidRDefault="005678FE"/>
    <w:sectPr w:rsidR="005678FE" w:rsidSect="003F360B">
      <w:headerReference w:type="default" r:id="rId12"/>
      <w:footerReference w:type="even" r:id="rId13"/>
      <w:footerReference w:type="default" r:id="rId14"/>
      <w:pgSz w:w="11906" w:h="16838"/>
      <w:pgMar w:top="1298" w:right="1440" w:bottom="1298" w:left="1440" w:header="708" w:footer="708" w:gutter="0"/>
      <w:cols w:space="708"/>
      <w:docGrid w:linePitch="360"/>
      <w:printerSettings r:id="rId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1A" w:rsidRDefault="00C24F9A" w:rsidP="001459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591A" w:rsidRDefault="00C24F9A" w:rsidP="0014591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1A" w:rsidRDefault="00C24F9A" w:rsidP="001459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4591A" w:rsidRDefault="00C24F9A" w:rsidP="0014591A">
    <w:pPr>
      <w:pStyle w:val="Footer"/>
      <w:ind w:right="360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1A" w:rsidRPr="00D30FC2" w:rsidRDefault="00C24F9A" w:rsidP="00D30FC2">
    <w:pPr>
      <w:pStyle w:val="Header"/>
      <w:jc w:val="right"/>
      <w:rPr>
        <w:rFonts w:ascii="Times New Roman" w:hAnsi="Times New Roman"/>
      </w:rPr>
    </w:pPr>
    <w:r w:rsidRPr="00D30FC2">
      <w:rPr>
        <w:rFonts w:ascii="Times New Roman" w:hAnsi="Times New Roman"/>
        <w:b/>
      </w:rPr>
      <w:t>Research Article</w:t>
    </w:r>
    <w:r w:rsidRPr="00D30FC2">
      <w:rPr>
        <w:rFonts w:ascii="Times New Roman" w:hAnsi="Times New Roman"/>
      </w:rPr>
      <w:t>- IP-10 for Diagnosis Tuberculosis in Children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9A"/>
    <w:rsid w:val="005678FE"/>
    <w:rsid w:val="00907A6F"/>
    <w:rsid w:val="00C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885C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F9A"/>
    <w:rPr>
      <w:rFonts w:ascii="Cambria" w:eastAsia="MS Mincho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F9A"/>
    <w:pPr>
      <w:jc w:val="both"/>
      <w:outlineLvl w:val="0"/>
    </w:pPr>
    <w:rPr>
      <w:rFonts w:ascii="Arial" w:eastAsia="TimesNewRomanPSMT" w:hAnsi="Arial" w:cs="Arial"/>
      <w:b/>
      <w:color w:val="000000"/>
      <w:sz w:val="22"/>
      <w:szCs w:val="22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F9A"/>
    <w:rPr>
      <w:rFonts w:ascii="Arial" w:eastAsia="TimesNewRomanPSMT" w:hAnsi="Arial" w:cs="Arial"/>
      <w:b/>
      <w:color w:val="000000"/>
      <w:sz w:val="22"/>
      <w:szCs w:val="22"/>
      <w:lang w:eastAsia="it-IT"/>
    </w:rPr>
  </w:style>
  <w:style w:type="paragraph" w:styleId="NormalWeb">
    <w:name w:val="Normal (Web)"/>
    <w:basedOn w:val="Normal"/>
    <w:uiPriority w:val="99"/>
    <w:unhideWhenUsed/>
    <w:rsid w:val="00C24F9A"/>
    <w:pPr>
      <w:spacing w:before="100" w:beforeAutospacing="1" w:after="100" w:afterAutospacing="1"/>
    </w:pPr>
    <w:rPr>
      <w:rFonts w:ascii="Times" w:hAnsi="Times"/>
      <w:sz w:val="20"/>
      <w:szCs w:val="20"/>
      <w:lang w:val="en-ID"/>
    </w:rPr>
  </w:style>
  <w:style w:type="paragraph" w:styleId="ListParagraph">
    <w:name w:val="List Paragraph"/>
    <w:basedOn w:val="Normal"/>
    <w:uiPriority w:val="34"/>
    <w:qFormat/>
    <w:rsid w:val="00C24F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F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F9A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C24F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F9A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24F9A"/>
  </w:style>
  <w:style w:type="paragraph" w:styleId="BalloonText">
    <w:name w:val="Balloon Text"/>
    <w:basedOn w:val="Normal"/>
    <w:link w:val="BalloonTextChar"/>
    <w:uiPriority w:val="99"/>
    <w:semiHidden/>
    <w:unhideWhenUsed/>
    <w:rsid w:val="00C24F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F9A"/>
    <w:rPr>
      <w:rFonts w:ascii="Lucida Grande" w:eastAsia="MS Mincho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F9A"/>
    <w:rPr>
      <w:rFonts w:ascii="Cambria" w:eastAsia="MS Mincho" w:hAnsi="Cambria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F9A"/>
    <w:pPr>
      <w:jc w:val="both"/>
      <w:outlineLvl w:val="0"/>
    </w:pPr>
    <w:rPr>
      <w:rFonts w:ascii="Arial" w:eastAsia="TimesNewRomanPSMT" w:hAnsi="Arial" w:cs="Arial"/>
      <w:b/>
      <w:color w:val="000000"/>
      <w:sz w:val="22"/>
      <w:szCs w:val="22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F9A"/>
    <w:rPr>
      <w:rFonts w:ascii="Arial" w:eastAsia="TimesNewRomanPSMT" w:hAnsi="Arial" w:cs="Arial"/>
      <w:b/>
      <w:color w:val="000000"/>
      <w:sz w:val="22"/>
      <w:szCs w:val="22"/>
      <w:lang w:eastAsia="it-IT"/>
    </w:rPr>
  </w:style>
  <w:style w:type="paragraph" w:styleId="NormalWeb">
    <w:name w:val="Normal (Web)"/>
    <w:basedOn w:val="Normal"/>
    <w:uiPriority w:val="99"/>
    <w:unhideWhenUsed/>
    <w:rsid w:val="00C24F9A"/>
    <w:pPr>
      <w:spacing w:before="100" w:beforeAutospacing="1" w:after="100" w:afterAutospacing="1"/>
    </w:pPr>
    <w:rPr>
      <w:rFonts w:ascii="Times" w:hAnsi="Times"/>
      <w:sz w:val="20"/>
      <w:szCs w:val="20"/>
      <w:lang w:val="en-ID"/>
    </w:rPr>
  </w:style>
  <w:style w:type="paragraph" w:styleId="ListParagraph">
    <w:name w:val="List Paragraph"/>
    <w:basedOn w:val="Normal"/>
    <w:uiPriority w:val="34"/>
    <w:qFormat/>
    <w:rsid w:val="00C24F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F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F9A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C24F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F9A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24F9A"/>
  </w:style>
  <w:style w:type="paragraph" w:styleId="BalloonText">
    <w:name w:val="Balloon Text"/>
    <w:basedOn w:val="Normal"/>
    <w:link w:val="BalloonTextChar"/>
    <w:uiPriority w:val="99"/>
    <w:semiHidden/>
    <w:unhideWhenUsed/>
    <w:rsid w:val="00C24F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F9A"/>
    <w:rPr>
      <w:rFonts w:ascii="Lucida Grande" w:eastAsia="MS Mincho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printerSettings" Target="printerSettings/printerSettings1.bin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284</Words>
  <Characters>1620</Characters>
  <Application>Microsoft Macintosh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stefanisuryanto</dc:creator>
  <cp:keywords/>
  <dc:description/>
  <cp:lastModifiedBy>stefanisuryanto</cp:lastModifiedBy>
  <cp:revision>1</cp:revision>
  <dcterms:created xsi:type="dcterms:W3CDTF">2019-08-28T01:21:00Z</dcterms:created>
  <dcterms:modified xsi:type="dcterms:W3CDTF">2019-08-28T01:28:00Z</dcterms:modified>
</cp:coreProperties>
</file>